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88"/>
      </w:tblGrid>
      <w:tr w:rsidR="00C27546" w:rsidRPr="00D31FF2" w14:paraId="1A8B929F" w14:textId="77777777" w:rsidTr="00C27546">
        <w:tc>
          <w:tcPr>
            <w:tcW w:w="2660" w:type="dxa"/>
            <w:vAlign w:val="center"/>
          </w:tcPr>
          <w:p w14:paraId="20C3208B" w14:textId="77777777" w:rsidR="00C27546" w:rsidRPr="00C27546" w:rsidRDefault="00C27546" w:rsidP="00C27546">
            <w:pPr>
              <w:spacing w:before="60" w:after="60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7188" w:type="dxa"/>
          </w:tcPr>
          <w:p w14:paraId="78C43754" w14:textId="77777777" w:rsidR="00C27546" w:rsidRPr="00C27546" w:rsidRDefault="00C27546" w:rsidP="00DB494C">
            <w:pPr>
              <w:spacing w:before="60" w:after="60"/>
              <w:jc w:val="both"/>
              <w:rPr>
                <w:rFonts w:ascii="Helvetica" w:hAnsi="Helvetica"/>
                <w:b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sz w:val="22"/>
                <w:szCs w:val="22"/>
                <w:lang w:val="en-GB"/>
              </w:rPr>
              <w:t>Introduction to social network analysis and online network analysis for studying collective action dynamics</w:t>
            </w:r>
          </w:p>
        </w:tc>
      </w:tr>
      <w:tr w:rsidR="00C27546" w:rsidRPr="00C27546" w14:paraId="354100AB" w14:textId="77777777" w:rsidTr="00C27546">
        <w:tc>
          <w:tcPr>
            <w:tcW w:w="2660" w:type="dxa"/>
            <w:vAlign w:val="center"/>
          </w:tcPr>
          <w:p w14:paraId="77849009" w14:textId="77777777" w:rsidR="00C27546" w:rsidRPr="00C27546" w:rsidRDefault="00C27546" w:rsidP="00C27546">
            <w:pPr>
              <w:spacing w:before="60" w:after="60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b/>
                <w:sz w:val="22"/>
                <w:szCs w:val="22"/>
                <w:lang w:val="en-GB"/>
              </w:rPr>
              <w:t>Type</w:t>
            </w:r>
          </w:p>
        </w:tc>
        <w:tc>
          <w:tcPr>
            <w:tcW w:w="7188" w:type="dxa"/>
          </w:tcPr>
          <w:p w14:paraId="3396A4E7" w14:textId="77777777" w:rsidR="00C27546" w:rsidRPr="00C27546" w:rsidRDefault="00C27546" w:rsidP="00DB494C">
            <w:pPr>
              <w:spacing w:before="60" w:after="60"/>
              <w:jc w:val="both"/>
              <w:rPr>
                <w:rFonts w:ascii="Helvetica" w:hAnsi="Helvetica"/>
                <w:b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sz w:val="22"/>
                <w:szCs w:val="22"/>
                <w:lang w:val="en-GB"/>
              </w:rPr>
              <w:t>Short Seminar</w:t>
            </w:r>
          </w:p>
        </w:tc>
      </w:tr>
      <w:tr w:rsidR="00C27546" w:rsidRPr="00C27546" w14:paraId="1269A862" w14:textId="77777777" w:rsidTr="00C27546">
        <w:tc>
          <w:tcPr>
            <w:tcW w:w="2660" w:type="dxa"/>
            <w:vAlign w:val="center"/>
          </w:tcPr>
          <w:p w14:paraId="19C3764B" w14:textId="77777777" w:rsidR="00C27546" w:rsidRPr="00C27546" w:rsidRDefault="00C27546" w:rsidP="00C27546">
            <w:pPr>
              <w:spacing w:before="60" w:after="60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b/>
                <w:sz w:val="22"/>
                <w:szCs w:val="22"/>
                <w:lang w:val="en-GB"/>
              </w:rPr>
              <w:t>Length</w:t>
            </w:r>
          </w:p>
        </w:tc>
        <w:tc>
          <w:tcPr>
            <w:tcW w:w="7188" w:type="dxa"/>
          </w:tcPr>
          <w:p w14:paraId="7A9DCA5F" w14:textId="77777777" w:rsidR="00C27546" w:rsidRPr="00C27546" w:rsidRDefault="00C27546" w:rsidP="00DB494C">
            <w:pPr>
              <w:spacing w:before="60" w:after="60"/>
              <w:jc w:val="both"/>
              <w:rPr>
                <w:rFonts w:ascii="Helvetica" w:hAnsi="Helvetica"/>
                <w:b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sz w:val="22"/>
                <w:szCs w:val="22"/>
                <w:lang w:val="en-GB"/>
              </w:rPr>
              <w:t xml:space="preserve">20 Sessions (45 </w:t>
            </w:r>
            <w:proofErr w:type="spellStart"/>
            <w:r w:rsidRPr="00C27546">
              <w:rPr>
                <w:rFonts w:ascii="Helvetica" w:hAnsi="Helvetica"/>
                <w:sz w:val="22"/>
                <w:szCs w:val="22"/>
                <w:lang w:val="en-GB"/>
              </w:rPr>
              <w:t>mins</w:t>
            </w:r>
            <w:proofErr w:type="spellEnd"/>
            <w:r w:rsidRPr="00C27546">
              <w:rPr>
                <w:rFonts w:ascii="Helvetica" w:hAnsi="Helvetica"/>
                <w:sz w:val="22"/>
                <w:szCs w:val="22"/>
                <w:lang w:val="en-GB"/>
              </w:rPr>
              <w:t xml:space="preserve"> each)</w:t>
            </w:r>
          </w:p>
        </w:tc>
      </w:tr>
      <w:tr w:rsidR="00C27546" w:rsidRPr="00C27546" w14:paraId="4485B77B" w14:textId="77777777" w:rsidTr="00C27546">
        <w:tc>
          <w:tcPr>
            <w:tcW w:w="2660" w:type="dxa"/>
            <w:vAlign w:val="center"/>
          </w:tcPr>
          <w:p w14:paraId="7A6D7377" w14:textId="77777777" w:rsidR="00C27546" w:rsidRPr="00C27546" w:rsidRDefault="00C27546" w:rsidP="00C27546">
            <w:pPr>
              <w:spacing w:before="60" w:after="60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b/>
                <w:sz w:val="22"/>
                <w:szCs w:val="22"/>
                <w:lang w:val="en-GB"/>
              </w:rPr>
              <w:t>Instructor</w:t>
            </w:r>
          </w:p>
        </w:tc>
        <w:tc>
          <w:tcPr>
            <w:tcW w:w="7188" w:type="dxa"/>
          </w:tcPr>
          <w:p w14:paraId="53F3A174" w14:textId="77777777" w:rsidR="00C27546" w:rsidRPr="00C27546" w:rsidRDefault="00C27546" w:rsidP="00DB494C">
            <w:pPr>
              <w:spacing w:before="60" w:after="60"/>
              <w:jc w:val="both"/>
              <w:rPr>
                <w:rFonts w:ascii="Helvetica" w:hAnsi="Helvetica"/>
                <w:b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sz w:val="22"/>
                <w:szCs w:val="22"/>
                <w:lang w:val="en-GB"/>
              </w:rPr>
              <w:t>Elena Pavan, PhD</w:t>
            </w:r>
          </w:p>
        </w:tc>
      </w:tr>
      <w:tr w:rsidR="00C27546" w:rsidRPr="00C27546" w14:paraId="1E38AC73" w14:textId="77777777" w:rsidTr="00C27546">
        <w:tc>
          <w:tcPr>
            <w:tcW w:w="2660" w:type="dxa"/>
            <w:vAlign w:val="center"/>
          </w:tcPr>
          <w:p w14:paraId="58DCC971" w14:textId="77777777" w:rsidR="00C27546" w:rsidRPr="00C27546" w:rsidRDefault="00C27546" w:rsidP="00C27546">
            <w:pPr>
              <w:spacing w:before="60" w:after="60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b/>
                <w:sz w:val="22"/>
                <w:szCs w:val="22"/>
                <w:lang w:val="en-GB"/>
              </w:rPr>
              <w:t>Period</w:t>
            </w:r>
            <w:r w:rsidRPr="00C27546">
              <w:rPr>
                <w:rFonts w:ascii="Helvetica" w:hAnsi="Helvetica"/>
                <w:sz w:val="22"/>
                <w:szCs w:val="22"/>
                <w:lang w:val="en-GB"/>
              </w:rPr>
              <w:t xml:space="preserve"> (tentative)</w:t>
            </w:r>
          </w:p>
        </w:tc>
        <w:tc>
          <w:tcPr>
            <w:tcW w:w="7188" w:type="dxa"/>
          </w:tcPr>
          <w:p w14:paraId="2928D323" w14:textId="77777777" w:rsidR="00C27546" w:rsidRPr="00C27546" w:rsidRDefault="00C27546" w:rsidP="00DB494C">
            <w:pPr>
              <w:spacing w:before="60" w:after="60"/>
              <w:jc w:val="both"/>
              <w:rPr>
                <w:rFonts w:ascii="Helvetica" w:hAnsi="Helvetica"/>
                <w:b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sz w:val="22"/>
                <w:szCs w:val="22"/>
                <w:lang w:val="en-GB"/>
              </w:rPr>
              <w:t>March, 10</w:t>
            </w:r>
            <w:r w:rsidRPr="00C27546">
              <w:rPr>
                <w:rFonts w:ascii="Helvetica" w:hAnsi="Helvetica"/>
                <w:sz w:val="22"/>
                <w:szCs w:val="22"/>
                <w:vertAlign w:val="superscript"/>
                <w:lang w:val="en-GB"/>
              </w:rPr>
              <w:t>th</w:t>
            </w:r>
            <w:r w:rsidRPr="00C27546">
              <w:rPr>
                <w:rFonts w:ascii="Helvetica" w:hAnsi="Helvetica"/>
                <w:sz w:val="22"/>
                <w:szCs w:val="22"/>
                <w:lang w:val="en-GB"/>
              </w:rPr>
              <w:t>-14</w:t>
            </w:r>
            <w:r w:rsidRPr="00C27546">
              <w:rPr>
                <w:rFonts w:ascii="Helvetica" w:hAnsi="Helvetica"/>
                <w:sz w:val="22"/>
                <w:szCs w:val="22"/>
                <w:vertAlign w:val="superscript"/>
                <w:lang w:val="en-GB"/>
              </w:rPr>
              <w:t>th</w:t>
            </w:r>
            <w:r w:rsidRPr="00C27546">
              <w:rPr>
                <w:rFonts w:ascii="Helvetica" w:hAnsi="Helvetica"/>
                <w:sz w:val="22"/>
                <w:szCs w:val="22"/>
                <w:lang w:val="en-GB"/>
              </w:rPr>
              <w:t xml:space="preserve"> 2014</w:t>
            </w:r>
          </w:p>
        </w:tc>
      </w:tr>
      <w:tr w:rsidR="00C27546" w:rsidRPr="00D31FF2" w14:paraId="03F605D2" w14:textId="77777777" w:rsidTr="00C27546">
        <w:tc>
          <w:tcPr>
            <w:tcW w:w="2660" w:type="dxa"/>
            <w:vAlign w:val="center"/>
          </w:tcPr>
          <w:p w14:paraId="7F3C7D3B" w14:textId="77777777" w:rsidR="00C27546" w:rsidRPr="00C27546" w:rsidRDefault="00C27546" w:rsidP="00C27546">
            <w:pPr>
              <w:spacing w:before="60" w:after="60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b/>
                <w:sz w:val="22"/>
                <w:szCs w:val="22"/>
                <w:lang w:val="en-GB"/>
              </w:rPr>
              <w:t>Objectives</w:t>
            </w:r>
          </w:p>
        </w:tc>
        <w:tc>
          <w:tcPr>
            <w:tcW w:w="7188" w:type="dxa"/>
          </w:tcPr>
          <w:p w14:paraId="4E9D4F3F" w14:textId="77777777" w:rsidR="00C27546" w:rsidRPr="00DB494C" w:rsidRDefault="00DB494C" w:rsidP="00A43824">
            <w:p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sz w:val="22"/>
                <w:szCs w:val="22"/>
                <w:lang w:val="en-GB"/>
              </w:rPr>
              <w:t>The seminar aims at providing attendants with basic knowledge on social network analysis as both a theoretical perspective and a tool for investigating political dynamics</w:t>
            </w:r>
            <w:r w:rsidR="00A43824">
              <w:rPr>
                <w:rFonts w:ascii="Helvetica" w:hAnsi="Helvetica"/>
                <w:sz w:val="22"/>
                <w:szCs w:val="22"/>
                <w:lang w:val="en-GB"/>
              </w:rPr>
              <w:t xml:space="preserve"> - especially</w: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citizens’ </w:t>
            </w:r>
            <w:r w:rsidR="00A43824">
              <w:rPr>
                <w:rFonts w:ascii="Helvetica" w:hAnsi="Helvetica"/>
                <w:sz w:val="22"/>
                <w:szCs w:val="22"/>
                <w:lang w:val="en-GB"/>
              </w:rPr>
              <w:t xml:space="preserve">collective political participation </w: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>(social movements and coalitions)</w:t>
            </w:r>
            <w:r w:rsidR="00A43824">
              <w:rPr>
                <w:rFonts w:ascii="Helvetica" w:hAnsi="Helvetica"/>
                <w:sz w:val="22"/>
                <w:szCs w:val="22"/>
                <w:lang w:val="en-GB"/>
              </w:rPr>
              <w:t>. Sp</w: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>ecific</w:t>
            </w:r>
            <w:r w:rsidR="00A43824">
              <w:rPr>
                <w:rFonts w:ascii="Helvetica" w:hAnsi="Helvetica"/>
                <w:sz w:val="22"/>
                <w:szCs w:val="22"/>
                <w:lang w:val="en-GB"/>
              </w:rPr>
              <w:t xml:space="preserve"> and thorough</w: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attention will be given to the online dimension of political participation</w:t>
            </w:r>
            <w:r w:rsidR="00A43824">
              <w:rPr>
                <w:rFonts w:ascii="Helvetica" w:hAnsi="Helvetica"/>
                <w:sz w:val="22"/>
                <w:szCs w:val="22"/>
                <w:lang w:val="en-GB"/>
              </w:rPr>
              <w:t xml:space="preserve"> and to the intertwinement of online and offline participatory dynamics</w: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. During the seminar, not only </w:t>
            </w:r>
            <w:r w:rsidR="00A43824">
              <w:rPr>
                <w:rFonts w:ascii="Helvetica" w:hAnsi="Helvetica"/>
                <w:sz w:val="22"/>
                <w:szCs w:val="22"/>
                <w:lang w:val="en-GB"/>
              </w:rPr>
              <w:t xml:space="preserve">online and offline </w: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collective action networks will be introduced from a conceptual point of view but also empirical tools for analysis will be illustrated (i.e., Issue Crawler for the design of online issue and hyperlink networks;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GB"/>
              </w:rPr>
              <w:t>NodeXL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for social media network analysis).</w:t>
            </w:r>
            <w:r w:rsidR="00A43824">
              <w:rPr>
                <w:rFonts w:ascii="Helvetica" w:hAnsi="Helvetica"/>
                <w:sz w:val="22"/>
                <w:szCs w:val="22"/>
                <w:lang w:val="en-GB"/>
              </w:rPr>
              <w:t xml:space="preserve"> At the end of the seminar, attendants are expected to have acquired familiarity with the peculiarities of the network approach in comparison with other statistical methods of social sciences; with its basic concepts; as well as with how to approach the investigation of online participatory dynamics.</w:t>
            </w:r>
          </w:p>
        </w:tc>
      </w:tr>
      <w:tr w:rsidR="00C27546" w:rsidRPr="00D31FF2" w14:paraId="54B45621" w14:textId="77777777" w:rsidTr="007D5325">
        <w:tc>
          <w:tcPr>
            <w:tcW w:w="2660" w:type="dxa"/>
            <w:vAlign w:val="center"/>
          </w:tcPr>
          <w:p w14:paraId="104A0C47" w14:textId="77777777" w:rsidR="00C27546" w:rsidRPr="00C27546" w:rsidRDefault="00C27546" w:rsidP="00C27546">
            <w:pPr>
              <w:spacing w:before="60" w:after="60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b/>
                <w:sz w:val="22"/>
                <w:szCs w:val="22"/>
                <w:lang w:val="en-GB"/>
              </w:rPr>
              <w:t>Prerequisites for attendants</w:t>
            </w:r>
          </w:p>
        </w:tc>
        <w:tc>
          <w:tcPr>
            <w:tcW w:w="7188" w:type="dxa"/>
            <w:vAlign w:val="center"/>
          </w:tcPr>
          <w:p w14:paraId="03C5C21C" w14:textId="368622FA" w:rsidR="00C27546" w:rsidRPr="007D5325" w:rsidRDefault="00A43824" w:rsidP="004137E4">
            <w:pPr>
              <w:spacing w:before="60" w:after="60"/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sz w:val="22"/>
                <w:szCs w:val="22"/>
                <w:lang w:val="en-GB"/>
              </w:rPr>
              <w:t>No specific requirement</w:t>
            </w:r>
            <w:r w:rsidR="004137E4">
              <w:rPr>
                <w:rFonts w:ascii="Helvetica" w:hAnsi="Helvetica"/>
                <w:sz w:val="22"/>
                <w:szCs w:val="22"/>
                <w:lang w:val="en-GB"/>
              </w:rPr>
              <w:t xml:space="preserve">s </w:t>
            </w:r>
            <w:proofErr w:type="gramStart"/>
            <w:r w:rsidR="004137E4">
              <w:rPr>
                <w:rFonts w:ascii="Helvetica" w:hAnsi="Helvetica"/>
                <w:sz w:val="22"/>
                <w:szCs w:val="22"/>
                <w:lang w:val="en-GB"/>
              </w:rPr>
              <w:t>are requested</w:t>
            </w:r>
            <w:proofErr w:type="gramEnd"/>
            <w:r w:rsidR="004137E4">
              <w:rPr>
                <w:rFonts w:ascii="Helvetica" w:hAnsi="Helvetica"/>
                <w:sz w:val="22"/>
                <w:szCs w:val="22"/>
                <w:lang w:val="en-GB"/>
              </w:rPr>
              <w:t xml:space="preserve"> for attendants. A maximum of 20 students </w:t>
            </w:r>
            <w:proofErr w:type="gramStart"/>
            <w:r w:rsidR="004137E4">
              <w:rPr>
                <w:rFonts w:ascii="Helvetica" w:hAnsi="Helvetica"/>
                <w:sz w:val="22"/>
                <w:szCs w:val="22"/>
                <w:lang w:val="en-GB"/>
              </w:rPr>
              <w:t>is recommended</w:t>
            </w:r>
            <w:proofErr w:type="gramEnd"/>
            <w:r w:rsidR="004137E4">
              <w:rPr>
                <w:rFonts w:ascii="Helvetica" w:hAnsi="Helvetica"/>
                <w:sz w:val="22"/>
                <w:szCs w:val="22"/>
                <w:lang w:val="en-GB"/>
              </w:rPr>
              <w:t>.</w:t>
            </w:r>
          </w:p>
        </w:tc>
      </w:tr>
      <w:tr w:rsidR="00C27546" w:rsidRPr="00D31FF2" w14:paraId="63630017" w14:textId="77777777" w:rsidTr="00C27546">
        <w:tc>
          <w:tcPr>
            <w:tcW w:w="2660" w:type="dxa"/>
            <w:vAlign w:val="center"/>
          </w:tcPr>
          <w:p w14:paraId="25592567" w14:textId="77777777" w:rsidR="00C27546" w:rsidRPr="00C27546" w:rsidRDefault="00C27546" w:rsidP="00C27546">
            <w:pPr>
              <w:spacing w:before="60" w:after="60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C27546">
              <w:rPr>
                <w:rFonts w:ascii="Helvetica" w:hAnsi="Helvetica"/>
                <w:b/>
                <w:sz w:val="22"/>
                <w:szCs w:val="22"/>
                <w:lang w:val="en-GB"/>
              </w:rPr>
              <w:t>Methods</w:t>
            </w:r>
            <w:r w:rsidR="007D5325">
              <w:rPr>
                <w:rFonts w:ascii="Helvetica" w:hAnsi="Helvetica"/>
                <w:b/>
                <w:sz w:val="22"/>
                <w:szCs w:val="22"/>
                <w:lang w:val="en-GB"/>
              </w:rPr>
              <w:t xml:space="preserve"> and Contents</w:t>
            </w:r>
          </w:p>
        </w:tc>
        <w:tc>
          <w:tcPr>
            <w:tcW w:w="7188" w:type="dxa"/>
          </w:tcPr>
          <w:p w14:paraId="0EC43072" w14:textId="77777777" w:rsidR="00476D5E" w:rsidRDefault="007D5325" w:rsidP="00476D5E">
            <w:p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7D5325">
              <w:rPr>
                <w:rFonts w:ascii="Helvetica" w:hAnsi="Helvetica"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seminar will run over eight meetings, each of which will last for 90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GB"/>
              </w:rPr>
              <w:t>mins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(2 sessions of 45 minutes). The seminar will be split into frontal lectures and practical session</w:t>
            </w:r>
            <w:r w:rsidR="00476D5E">
              <w:rPr>
                <w:rFonts w:ascii="Helvetica" w:hAnsi="Helvetica"/>
                <w:sz w:val="22"/>
                <w:szCs w:val="22"/>
                <w:lang w:val="en-GB"/>
              </w:rPr>
              <w:t>s, which will take place in computer laboratory. Contents and modes will be as follows:</w:t>
            </w:r>
          </w:p>
          <w:p w14:paraId="6C645D46" w14:textId="34049ECE" w:rsidR="006D4BA8" w:rsidRPr="00476D5E" w:rsidRDefault="00476D5E" w:rsidP="00476D5E">
            <w:pPr>
              <w:pStyle w:val="Paragrafoelenco"/>
              <w:numPr>
                <w:ilvl w:val="0"/>
                <w:numId w:val="2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476D5E">
              <w:rPr>
                <w:rFonts w:ascii="Helvetica" w:hAnsi="Helvetica"/>
                <w:sz w:val="22"/>
                <w:szCs w:val="22"/>
                <w:lang w:val="en-GB"/>
              </w:rPr>
              <w:t>Meeting 1: Introduction to basic network analysis concepts and measures (</w: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length: 90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GB"/>
              </w:rPr>
              <w:t>mins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; </w:t>
            </w:r>
            <w:r w:rsidRPr="00476D5E">
              <w:rPr>
                <w:rFonts w:ascii="Helvetica" w:hAnsi="Helvetica"/>
                <w:sz w:val="22"/>
                <w:szCs w:val="22"/>
                <w:lang w:val="en-GB"/>
              </w:rPr>
              <w:t>type: frontal lecture)</w:t>
            </w:r>
          </w:p>
          <w:p w14:paraId="235DC697" w14:textId="764479D1" w:rsidR="00476D5E" w:rsidRDefault="00476D5E" w:rsidP="00476D5E">
            <w:pPr>
              <w:pStyle w:val="Paragrafoelenco"/>
              <w:numPr>
                <w:ilvl w:val="0"/>
                <w:numId w:val="2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Meeting 2: Introduction to basic network </w:t>
            </w:r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analysis procedures with </w:t>
            </w:r>
            <w:proofErr w:type="spellStart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NodeXL</w:t>
            </w:r>
            <w:proofErr w:type="spellEnd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 - part 1 </w: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(length: 90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GB"/>
              </w:rPr>
              <w:t>mins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GB"/>
              </w:rPr>
              <w:t>; type: computer laboratory)</w:t>
            </w:r>
          </w:p>
          <w:p w14:paraId="6F9A2406" w14:textId="32B3EA59" w:rsidR="00476D5E" w:rsidRDefault="00476D5E" w:rsidP="00476D5E">
            <w:pPr>
              <w:pStyle w:val="Paragrafoelenco"/>
              <w:numPr>
                <w:ilvl w:val="0"/>
                <w:numId w:val="2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Meeting 3: Introduction to social media and online network analysis (length 90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GB"/>
              </w:rPr>
              <w:t>mins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GB"/>
              </w:rPr>
              <w:t>; type: frontal lecture)</w:t>
            </w:r>
          </w:p>
          <w:p w14:paraId="2E9FD592" w14:textId="2B0F9183" w:rsidR="00476D5E" w:rsidRPr="008D1C30" w:rsidRDefault="00476D5E" w:rsidP="008D1C30">
            <w:pPr>
              <w:pStyle w:val="Paragrafoelenco"/>
              <w:numPr>
                <w:ilvl w:val="0"/>
                <w:numId w:val="2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Meeting 4: </w:t>
            </w:r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Introduction to basic network analysis procedures with </w:t>
            </w:r>
            <w:proofErr w:type="spellStart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NodeXL</w:t>
            </w:r>
            <w:proofErr w:type="spellEnd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 - part 2 (length: 90 </w:t>
            </w:r>
            <w:proofErr w:type="spellStart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mins</w:t>
            </w:r>
            <w:proofErr w:type="spellEnd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; type: computer laboratory)</w:t>
            </w:r>
          </w:p>
          <w:p w14:paraId="2186E22F" w14:textId="69946913" w:rsidR="00476D5E" w:rsidRDefault="00476D5E" w:rsidP="00476D5E">
            <w:pPr>
              <w:pStyle w:val="Paragrafoelenco"/>
              <w:numPr>
                <w:ilvl w:val="0"/>
                <w:numId w:val="2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sz w:val="22"/>
                <w:szCs w:val="22"/>
                <w:lang w:val="en-GB"/>
              </w:rPr>
              <w:t>Meeting 5:</w:t>
            </w:r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 Overview on issue and hyperlink networks - conceptual premises and design methods </w:t>
            </w:r>
            <w:r w:rsidR="008D1C30" w:rsidRPr="00476D5E">
              <w:rPr>
                <w:rFonts w:ascii="Helvetica" w:hAnsi="Helvetica"/>
                <w:sz w:val="22"/>
                <w:szCs w:val="22"/>
                <w:lang w:val="en-GB"/>
              </w:rPr>
              <w:t>(</w:t>
            </w:r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length: 90 </w:t>
            </w:r>
            <w:proofErr w:type="spellStart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mins</w:t>
            </w:r>
            <w:proofErr w:type="spellEnd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; </w:t>
            </w:r>
            <w:r w:rsidR="008D1C30" w:rsidRPr="00476D5E">
              <w:rPr>
                <w:rFonts w:ascii="Helvetica" w:hAnsi="Helvetica"/>
                <w:sz w:val="22"/>
                <w:szCs w:val="22"/>
                <w:lang w:val="en-GB"/>
              </w:rPr>
              <w:t>type: frontal lecture)</w:t>
            </w:r>
          </w:p>
          <w:p w14:paraId="18F3DC35" w14:textId="70333616" w:rsidR="00476D5E" w:rsidRPr="008D1C30" w:rsidRDefault="00476D5E" w:rsidP="008D1C30">
            <w:pPr>
              <w:pStyle w:val="Paragrafoelenco"/>
              <w:numPr>
                <w:ilvl w:val="0"/>
                <w:numId w:val="2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Meeting 6: </w:t>
            </w:r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Online network analysis with Issue Crawler and </w:t>
            </w:r>
            <w:proofErr w:type="spellStart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NodeXL</w:t>
            </w:r>
            <w:proofErr w:type="spellEnd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 (length: 90 </w:t>
            </w:r>
            <w:proofErr w:type="spellStart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mins</w:t>
            </w:r>
            <w:proofErr w:type="spellEnd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; type: computer laboratory)</w:t>
            </w:r>
          </w:p>
          <w:p w14:paraId="5E539586" w14:textId="152890BA" w:rsidR="00476D5E" w:rsidRPr="008D1C30" w:rsidRDefault="00476D5E" w:rsidP="008D1C30">
            <w:pPr>
              <w:pStyle w:val="Paragrafoelenco"/>
              <w:numPr>
                <w:ilvl w:val="0"/>
                <w:numId w:val="2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Meeting 7: </w:t>
            </w:r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Overview on social media networks - Facebook and Twitter </w:t>
            </w:r>
            <w:r w:rsidR="008D1C30" w:rsidRPr="00476D5E">
              <w:rPr>
                <w:rFonts w:ascii="Helvetica" w:hAnsi="Helvetica"/>
                <w:sz w:val="22"/>
                <w:szCs w:val="22"/>
                <w:lang w:val="en-GB"/>
              </w:rPr>
              <w:t>(</w:t>
            </w:r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length: 90 </w:t>
            </w:r>
            <w:proofErr w:type="spellStart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mins</w:t>
            </w:r>
            <w:proofErr w:type="spellEnd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; </w:t>
            </w:r>
            <w:r w:rsidR="008D1C30" w:rsidRPr="00476D5E">
              <w:rPr>
                <w:rFonts w:ascii="Helvetica" w:hAnsi="Helvetica"/>
                <w:sz w:val="22"/>
                <w:szCs w:val="22"/>
                <w:lang w:val="en-GB"/>
              </w:rPr>
              <w:t>type: frontal lecture)</w:t>
            </w:r>
          </w:p>
          <w:p w14:paraId="67FCAC18" w14:textId="29A93FD7" w:rsidR="00476D5E" w:rsidRPr="006D4BA8" w:rsidRDefault="00476D5E" w:rsidP="00476D5E">
            <w:pPr>
              <w:pStyle w:val="Paragrafoelenco"/>
              <w:numPr>
                <w:ilvl w:val="0"/>
                <w:numId w:val="2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sz w:val="22"/>
                <w:szCs w:val="22"/>
                <w:lang w:val="en-GB"/>
              </w:rPr>
              <w:t>Meeting 8:</w:t>
            </w:r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 Social media network analysis with </w:t>
            </w:r>
            <w:proofErr w:type="spellStart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NodeXL</w:t>
            </w:r>
            <w:proofErr w:type="spellEnd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 xml:space="preserve"> (length: 90 </w:t>
            </w:r>
            <w:proofErr w:type="spellStart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mins</w:t>
            </w:r>
            <w:proofErr w:type="spellEnd"/>
            <w:r w:rsidR="008D1C30">
              <w:rPr>
                <w:rFonts w:ascii="Helvetica" w:hAnsi="Helvetica"/>
                <w:sz w:val="22"/>
                <w:szCs w:val="22"/>
                <w:lang w:val="en-GB"/>
              </w:rPr>
              <w:t>; type: computer laboratory)</w:t>
            </w:r>
          </w:p>
        </w:tc>
      </w:tr>
      <w:tr w:rsidR="00D31FF2" w:rsidRPr="00D31FF2" w14:paraId="65336717" w14:textId="77777777" w:rsidTr="00C27546">
        <w:tc>
          <w:tcPr>
            <w:tcW w:w="2660" w:type="dxa"/>
            <w:vAlign w:val="center"/>
          </w:tcPr>
          <w:p w14:paraId="6A1555F9" w14:textId="59BCF87A" w:rsidR="00D31FF2" w:rsidRDefault="00D31FF2" w:rsidP="00C27546">
            <w:pPr>
              <w:spacing w:before="60" w:after="60"/>
              <w:rPr>
                <w:rFonts w:ascii="Helvetica" w:hAnsi="Helvetica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b/>
                <w:sz w:val="22"/>
                <w:szCs w:val="22"/>
                <w:lang w:val="en-GB"/>
              </w:rPr>
              <w:t xml:space="preserve">Attendance </w:t>
            </w:r>
            <w:bookmarkStart w:id="0" w:name="_GoBack"/>
            <w:bookmarkEnd w:id="0"/>
          </w:p>
        </w:tc>
        <w:tc>
          <w:tcPr>
            <w:tcW w:w="7188" w:type="dxa"/>
          </w:tcPr>
          <w:p w14:paraId="4F9012F0" w14:textId="6F598E82" w:rsidR="00D31FF2" w:rsidRPr="00D31FF2" w:rsidRDefault="00D31FF2" w:rsidP="00D31FF2">
            <w:p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>Students attending at least 75% of meetings (6) will be entitled to earn a certificate of attendance and formative credits</w:t>
            </w:r>
          </w:p>
        </w:tc>
      </w:tr>
      <w:tr w:rsidR="007D5325" w:rsidRPr="00D31FF2" w14:paraId="041FFC24" w14:textId="77777777" w:rsidTr="00C27546">
        <w:tc>
          <w:tcPr>
            <w:tcW w:w="2660" w:type="dxa"/>
            <w:vAlign w:val="center"/>
          </w:tcPr>
          <w:p w14:paraId="227976F1" w14:textId="77777777" w:rsidR="007D5325" w:rsidRPr="00C27546" w:rsidRDefault="007D5325" w:rsidP="00C27546">
            <w:pPr>
              <w:spacing w:before="60" w:after="60"/>
              <w:rPr>
                <w:rFonts w:ascii="Helvetica" w:hAnsi="Helvetica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b/>
                <w:sz w:val="22"/>
                <w:szCs w:val="22"/>
                <w:lang w:val="en-GB"/>
              </w:rPr>
              <w:t>References</w:t>
            </w:r>
          </w:p>
        </w:tc>
        <w:tc>
          <w:tcPr>
            <w:tcW w:w="7188" w:type="dxa"/>
          </w:tcPr>
          <w:p w14:paraId="0351171D" w14:textId="77777777" w:rsidR="00624FD8" w:rsidRPr="00BB7F07" w:rsidRDefault="00624FD8" w:rsidP="00BB7F07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US"/>
              </w:rPr>
            </w:pPr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 xml:space="preserve">Ackland, R. (2013) “Introduction”, pp.1-18 in R. Ackland, </w:t>
            </w:r>
            <w:r w:rsidRPr="00BB7F07">
              <w:rPr>
                <w:rFonts w:ascii="Helvetica" w:hAnsi="Helvetica"/>
                <w:i/>
                <w:iCs/>
                <w:sz w:val="22"/>
                <w:szCs w:val="22"/>
                <w:lang w:val="en-US"/>
              </w:rPr>
              <w:t xml:space="preserve">Web Social Science. Concepts, data and tools for social scientists in </w:t>
            </w:r>
            <w:r w:rsidRPr="00BB7F07">
              <w:rPr>
                <w:rFonts w:ascii="Helvetica" w:hAnsi="Helvetica"/>
                <w:i/>
                <w:iCs/>
                <w:sz w:val="22"/>
                <w:szCs w:val="22"/>
                <w:lang w:val="en-US"/>
              </w:rPr>
              <w:lastRenderedPageBreak/>
              <w:t>the digital age</w:t>
            </w:r>
            <w:r w:rsidRPr="00BB7F07">
              <w:rPr>
                <w:rFonts w:ascii="Helvetica" w:hAnsi="Helvetic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B7F07">
              <w:rPr>
                <w:rFonts w:ascii="Helvetica" w:hAnsi="Helvetica"/>
                <w:sz w:val="22"/>
                <w:szCs w:val="22"/>
                <w:lang w:val="en-US"/>
              </w:rPr>
              <w:t>London:Sage</w:t>
            </w:r>
            <w:proofErr w:type="spellEnd"/>
          </w:p>
          <w:p w14:paraId="3219DBD9" w14:textId="037A0206" w:rsidR="00BB7F07" w:rsidRPr="004137E4" w:rsidRDefault="00BB7F07" w:rsidP="00BB7F07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US"/>
              </w:rPr>
            </w:pPr>
            <w:proofErr w:type="spellStart"/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>Borgatti</w:t>
            </w:r>
            <w:proofErr w:type="spellEnd"/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 xml:space="preserve">, S. P., M. G. Everett, and J. C. Johnson. 2013. </w:t>
            </w:r>
            <w:r w:rsidRPr="004137E4">
              <w:rPr>
                <w:rFonts w:ascii="Helvetica" w:hAnsi="Helvetica"/>
                <w:i/>
                <w:sz w:val="22"/>
                <w:szCs w:val="22"/>
                <w:lang w:val="en-US"/>
              </w:rPr>
              <w:t>Analyzing Social Networks</w:t>
            </w:r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 xml:space="preserve">. London: Sage. </w:t>
            </w:r>
          </w:p>
          <w:p w14:paraId="08DF4DAB" w14:textId="77777777" w:rsidR="00BB7F07" w:rsidRPr="004137E4" w:rsidRDefault="00BB7F07" w:rsidP="00BB7F07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US"/>
              </w:rPr>
            </w:pPr>
            <w:proofErr w:type="spellStart"/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>Hanneman</w:t>
            </w:r>
            <w:proofErr w:type="spellEnd"/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 xml:space="preserve">, Robert A. and Mark Riddle. 2005. </w:t>
            </w:r>
            <w:r w:rsidRPr="004137E4">
              <w:rPr>
                <w:rFonts w:ascii="Helvetica" w:hAnsi="Helvetica"/>
                <w:i/>
                <w:sz w:val="22"/>
                <w:szCs w:val="22"/>
                <w:lang w:val="en-US"/>
              </w:rPr>
              <w:t>Introduction to social network methods</w:t>
            </w:r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>. Riverside, CA: University of California, Riverside (published in digital form at http://faculty.ucr.edu/~hanneman/).</w:t>
            </w:r>
          </w:p>
          <w:p w14:paraId="78940CA4" w14:textId="77777777" w:rsidR="00BB7F07" w:rsidRPr="004137E4" w:rsidRDefault="00BB7F07" w:rsidP="00BB7F07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US"/>
              </w:rPr>
            </w:pPr>
            <w:r w:rsidRPr="00BB7F07">
              <w:rPr>
                <w:rFonts w:ascii="Helvetica" w:hAnsi="Helvetica"/>
                <w:sz w:val="22"/>
                <w:szCs w:val="22"/>
              </w:rPr>
              <w:t xml:space="preserve">Padovani, C. and E. Pavan. </w:t>
            </w:r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 xml:space="preserve">(2009) “Information Networks, Internet Governance and Innovation in World Politics”. Pp. pp. 154- 173 in F. Amoretti (edited by), </w:t>
            </w:r>
            <w:r w:rsidRPr="004137E4">
              <w:rPr>
                <w:rFonts w:ascii="Helvetica" w:hAnsi="Helvetica"/>
                <w:i/>
                <w:sz w:val="22"/>
                <w:szCs w:val="22"/>
                <w:lang w:val="en-US"/>
              </w:rPr>
              <w:t>Electronic Constitution: Social, Cultural, and Political Implications</w:t>
            </w:r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>, Hershey, PA: IGI Global</w:t>
            </w:r>
          </w:p>
          <w:p w14:paraId="62B5DA80" w14:textId="77777777" w:rsidR="00BB7F07" w:rsidRPr="00BB7F07" w:rsidRDefault="00BB7F07" w:rsidP="00BB7F07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US"/>
              </w:rPr>
            </w:pPr>
            <w:r w:rsidRPr="00BB7F07">
              <w:rPr>
                <w:rFonts w:ascii="Helvetica" w:hAnsi="Helvetica"/>
                <w:sz w:val="22"/>
                <w:szCs w:val="22"/>
                <w:lang w:val="en-US"/>
              </w:rPr>
              <w:t xml:space="preserve">Pavan, E. (2013). “Collective action and Web 2.0. An exploratory network analysis of Twitter use during campaigns”. </w:t>
            </w:r>
            <w:proofErr w:type="spellStart"/>
            <w:r w:rsidRPr="00BB7F07">
              <w:rPr>
                <w:rFonts w:ascii="Helvetica" w:hAnsi="Helvetica"/>
                <w:i/>
                <w:iCs/>
                <w:sz w:val="22"/>
                <w:szCs w:val="22"/>
                <w:lang w:val="en-US"/>
              </w:rPr>
              <w:t>Sociologica</w:t>
            </w:r>
            <w:proofErr w:type="spellEnd"/>
            <w:r w:rsidRPr="00BB7F07">
              <w:rPr>
                <w:rFonts w:ascii="Helvetica" w:hAnsi="Helvetica"/>
                <w:sz w:val="22"/>
                <w:szCs w:val="22"/>
                <w:lang w:val="en-US"/>
              </w:rPr>
              <w:t xml:space="preserve"> (forthcoming in December issue)</w:t>
            </w:r>
          </w:p>
          <w:p w14:paraId="6238A4DF" w14:textId="20D1DFD4" w:rsidR="00BB7F07" w:rsidRPr="004137E4" w:rsidRDefault="00BB7F07" w:rsidP="00BB7F07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US"/>
              </w:rPr>
            </w:pPr>
            <w:r w:rsidRPr="00BB7F07">
              <w:rPr>
                <w:rFonts w:ascii="Helvetica" w:hAnsi="Helvetica"/>
                <w:sz w:val="22"/>
                <w:szCs w:val="22"/>
                <w:lang w:val="en-US"/>
              </w:rPr>
              <w:t xml:space="preserve">Pavan, E. (2012). “Chapter 2: </w:t>
            </w:r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>Investigating Content and Process in Political Dynamics: Theoretical Background and  Analytic Framework</w:t>
            </w:r>
            <w:r w:rsidRPr="00BB7F07">
              <w:rPr>
                <w:rFonts w:ascii="Helvetica" w:hAnsi="Helvetica"/>
                <w:sz w:val="22"/>
                <w:szCs w:val="22"/>
                <w:lang w:val="en-US"/>
              </w:rPr>
              <w:t xml:space="preserve">”. Pp 37-64 in </w:t>
            </w:r>
            <w:r w:rsidRPr="00BB7F07">
              <w:rPr>
                <w:rFonts w:ascii="Helvetica" w:hAnsi="Helvetica"/>
                <w:i/>
                <w:sz w:val="22"/>
                <w:szCs w:val="22"/>
                <w:lang w:val="en-US"/>
              </w:rPr>
              <w:t>Frames and Connections in the Governance of Global Communications. A network analysis of the Internet Governance Forum</w:t>
            </w:r>
            <w:r w:rsidRPr="00BB7F07">
              <w:rPr>
                <w:rFonts w:ascii="Helvetica" w:hAnsi="Helvetica"/>
                <w:sz w:val="22"/>
                <w:szCs w:val="22"/>
                <w:lang w:val="en-US"/>
              </w:rPr>
              <w:t>. Lanham (MD): Lexington</w:t>
            </w:r>
          </w:p>
          <w:p w14:paraId="58F06BA8" w14:textId="77777777" w:rsidR="00624FD8" w:rsidRPr="004137E4" w:rsidRDefault="00624FD8" w:rsidP="00BB7F07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US"/>
              </w:rPr>
            </w:pPr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 xml:space="preserve">Rogers, R. (2009), </w:t>
            </w:r>
            <w:r w:rsidRPr="004137E4">
              <w:rPr>
                <w:rFonts w:ascii="Helvetica" w:hAnsi="Helvetica"/>
                <w:i/>
                <w:sz w:val="22"/>
                <w:szCs w:val="22"/>
                <w:lang w:val="en-US"/>
              </w:rPr>
              <w:t>The end of the virtual</w:t>
            </w:r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>, paper available at www.govcom.org/</w:t>
            </w:r>
            <w:r w:rsidRPr="004137E4">
              <w:rPr>
                <w:rFonts w:ascii="Helvetica" w:hAnsi="Helvetica"/>
                <w:bCs/>
                <w:sz w:val="22"/>
                <w:szCs w:val="22"/>
                <w:lang w:val="en-US"/>
              </w:rPr>
              <w:t>rogers</w:t>
            </w:r>
            <w:r w:rsidRPr="004137E4">
              <w:rPr>
                <w:rFonts w:ascii="Helvetica" w:hAnsi="Helvetica"/>
                <w:sz w:val="22"/>
                <w:szCs w:val="22"/>
                <w:lang w:val="en-US"/>
              </w:rPr>
              <w:t>_paris_medialab.pdf‎</w:t>
            </w:r>
          </w:p>
          <w:p w14:paraId="6ADC37F7" w14:textId="77777777" w:rsidR="00BB7F07" w:rsidRPr="004137E4" w:rsidRDefault="00BB7F07" w:rsidP="00DB494C">
            <w:p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28D4BB3E" w14:textId="08F558A8" w:rsidR="00BB7F07" w:rsidRPr="004137E4" w:rsidRDefault="00BB7F07" w:rsidP="00BB7F07">
            <w:pPr>
              <w:spacing w:before="60" w:after="60"/>
              <w:jc w:val="both"/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</w:tbl>
    <w:p w14:paraId="5A18908C" w14:textId="467044D5" w:rsidR="000819CB" w:rsidRPr="000819CB" w:rsidRDefault="000819CB" w:rsidP="00C27546">
      <w:pPr>
        <w:rPr>
          <w:rFonts w:ascii="Helvetica" w:hAnsi="Helvetica"/>
          <w:sz w:val="22"/>
          <w:szCs w:val="22"/>
          <w:lang w:val="en-GB"/>
        </w:rPr>
      </w:pPr>
    </w:p>
    <w:sectPr w:rsidR="000819CB" w:rsidRPr="000819CB" w:rsidSect="00DE02E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PH 2B Damase">
    <w:charset w:val="81"/>
    <w:family w:val="auto"/>
    <w:pitch w:val="variable"/>
    <w:sig w:usb0="A5012EFF" w:usb1="DB0678FB" w:usb2="00901138" w:usb3="00000000" w:csb0="0029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43039"/>
    <w:multiLevelType w:val="hybridMultilevel"/>
    <w:tmpl w:val="5F18B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B0D"/>
    <w:multiLevelType w:val="hybridMultilevel"/>
    <w:tmpl w:val="EB62A068"/>
    <w:lvl w:ilvl="0" w:tplc="5EE0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89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24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E9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85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05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07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CB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67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1566DD"/>
    <w:multiLevelType w:val="hybridMultilevel"/>
    <w:tmpl w:val="05588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F1ED2"/>
    <w:multiLevelType w:val="hybridMultilevel"/>
    <w:tmpl w:val="4686E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CB"/>
    <w:rsid w:val="000819CB"/>
    <w:rsid w:val="00127459"/>
    <w:rsid w:val="001340E6"/>
    <w:rsid w:val="004137E4"/>
    <w:rsid w:val="00476D5E"/>
    <w:rsid w:val="005E1445"/>
    <w:rsid w:val="00624FD8"/>
    <w:rsid w:val="006D4BA8"/>
    <w:rsid w:val="007D5325"/>
    <w:rsid w:val="008D1C30"/>
    <w:rsid w:val="009021FC"/>
    <w:rsid w:val="00A43824"/>
    <w:rsid w:val="00BB7F07"/>
    <w:rsid w:val="00C27546"/>
    <w:rsid w:val="00D31FF2"/>
    <w:rsid w:val="00DB494C"/>
    <w:rsid w:val="00DE02E2"/>
    <w:rsid w:val="00ED1570"/>
    <w:rsid w:val="00F3239F"/>
    <w:rsid w:val="00F532B2"/>
    <w:rsid w:val="00FB3E4A"/>
    <w:rsid w:val="00FF7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C258F"/>
  <w15:docId w15:val="{AFC6763A-1A42-4274-9BB6-05F5F85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32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headingC">
    <w:name w:val="subheading C"/>
    <w:basedOn w:val="Titolo3"/>
    <w:next w:val="Normale"/>
    <w:autoRedefine/>
    <w:qFormat/>
    <w:rsid w:val="00F532B2"/>
    <w:pPr>
      <w:keepLines w:val="0"/>
      <w:spacing w:before="120" w:after="120"/>
    </w:pPr>
    <w:rPr>
      <w:rFonts w:ascii="Times New Roman" w:eastAsia="MPH 2B Damase" w:hAnsi="Times New Roman" w:cs="Times New Roman"/>
      <w:b w:val="0"/>
      <w:i/>
      <w:color w:val="auto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32B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5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57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C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D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3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UNITN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Pavan</dc:creator>
  <cp:keywords/>
  <dc:description/>
  <cp:lastModifiedBy>Elena Pavan</cp:lastModifiedBy>
  <cp:revision>9</cp:revision>
  <dcterms:created xsi:type="dcterms:W3CDTF">2013-11-19T08:10:00Z</dcterms:created>
  <dcterms:modified xsi:type="dcterms:W3CDTF">2014-01-22T09:57:00Z</dcterms:modified>
</cp:coreProperties>
</file>