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AA" w:rsidRDefault="00F563DA">
      <w:pPr>
        <w:spacing w:before="120"/>
        <w:rPr>
          <w:szCs w:val="20"/>
        </w:rPr>
      </w:pPr>
      <w:r>
        <w:rPr>
          <w:b/>
          <w:szCs w:val="20"/>
          <w:u w:val="single"/>
        </w:rPr>
        <w:t>Katedra trestního práva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>Akademický rok 2021/2022</w:t>
      </w:r>
    </w:p>
    <w:p w:rsidR="004612AA" w:rsidRDefault="00F563DA">
      <w:pPr>
        <w:spacing w:before="120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>Zimní semestr</w:t>
      </w:r>
    </w:p>
    <w:p w:rsidR="004612AA" w:rsidRDefault="00F563DA">
      <w:pPr>
        <w:spacing w:before="120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Pondělí 12-14 hod.</w:t>
      </w:r>
    </w:p>
    <w:p w:rsidR="004612AA" w:rsidRDefault="00F563DA">
      <w:pPr>
        <w:spacing w:before="120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Míst. č. </w:t>
      </w:r>
      <w:r w:rsidR="00A143B3">
        <w:rPr>
          <w:b/>
          <w:szCs w:val="20"/>
        </w:rPr>
        <w:t>300</w:t>
      </w:r>
      <w:bookmarkStart w:id="0" w:name="_GoBack"/>
      <w:bookmarkEnd w:id="0"/>
    </w:p>
    <w:p w:rsidR="004612AA" w:rsidRDefault="004612AA">
      <w:pPr>
        <w:spacing w:before="120"/>
        <w:rPr>
          <w:sz w:val="28"/>
          <w:szCs w:val="20"/>
        </w:rPr>
      </w:pPr>
    </w:p>
    <w:p w:rsidR="004612AA" w:rsidRDefault="00F563DA">
      <w:pPr>
        <w:keepNext/>
        <w:spacing w:before="120"/>
        <w:jc w:val="center"/>
        <w:outlineLvl w:val="7"/>
        <w:rPr>
          <w:b/>
          <w:sz w:val="30"/>
          <w:szCs w:val="20"/>
          <w:u w:val="single"/>
        </w:rPr>
      </w:pPr>
      <w:r>
        <w:rPr>
          <w:b/>
          <w:sz w:val="30"/>
          <w:szCs w:val="20"/>
          <w:u w:val="single"/>
        </w:rPr>
        <w:t>KRIMINOLOGIE I.</w:t>
      </w:r>
    </w:p>
    <w:p w:rsidR="004612AA" w:rsidRDefault="004612AA">
      <w:pPr>
        <w:keepNext/>
        <w:spacing w:before="120"/>
        <w:jc w:val="center"/>
        <w:outlineLvl w:val="7"/>
        <w:rPr>
          <w:b/>
          <w:sz w:val="30"/>
          <w:szCs w:val="20"/>
          <w:u w:val="single"/>
        </w:rPr>
      </w:pPr>
    </w:p>
    <w:tbl>
      <w:tblPr>
        <w:tblStyle w:val="Mkatabulky"/>
        <w:tblW w:w="9149" w:type="dxa"/>
        <w:tblLayout w:type="fixed"/>
        <w:tblLook w:val="04A0" w:firstRow="1" w:lastRow="0" w:firstColumn="1" w:lastColumn="0" w:noHBand="0" w:noVBand="1"/>
      </w:tblPr>
      <w:tblGrid>
        <w:gridCol w:w="1655"/>
        <w:gridCol w:w="4928"/>
        <w:gridCol w:w="2566"/>
      </w:tblGrid>
      <w:tr w:rsidR="004612AA">
        <w:trPr>
          <w:trHeight w:val="726"/>
        </w:trPr>
        <w:tc>
          <w:tcPr>
            <w:tcW w:w="1655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Datum</w:t>
            </w:r>
          </w:p>
        </w:tc>
        <w:tc>
          <w:tcPr>
            <w:tcW w:w="4928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Téma</w:t>
            </w:r>
          </w:p>
        </w:tc>
        <w:tc>
          <w:tcPr>
            <w:tcW w:w="2566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Přednášející</w:t>
            </w:r>
          </w:p>
        </w:tc>
      </w:tr>
      <w:tr w:rsidR="004612AA">
        <w:trPr>
          <w:trHeight w:val="726"/>
        </w:trPr>
        <w:tc>
          <w:tcPr>
            <w:tcW w:w="1655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(1.) 11. 10.</w:t>
            </w:r>
          </w:p>
        </w:tc>
        <w:tc>
          <w:tcPr>
            <w:tcW w:w="4928" w:type="dxa"/>
          </w:tcPr>
          <w:p w:rsidR="004612AA" w:rsidRDefault="00F563DA">
            <w:pPr>
              <w:spacing w:before="120" w:line="12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Pojem, předmět a úkoly kriminologie</w:t>
            </w:r>
          </w:p>
        </w:tc>
        <w:tc>
          <w:tcPr>
            <w:tcW w:w="2566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doc. </w:t>
            </w:r>
            <w:proofErr w:type="spellStart"/>
            <w:r>
              <w:rPr>
                <w:b/>
                <w:sz w:val="27"/>
                <w:szCs w:val="27"/>
              </w:rPr>
              <w:t>Gřivna</w:t>
            </w:r>
            <w:proofErr w:type="spellEnd"/>
          </w:p>
        </w:tc>
      </w:tr>
      <w:tr w:rsidR="004612AA">
        <w:trPr>
          <w:trHeight w:val="726"/>
        </w:trPr>
        <w:tc>
          <w:tcPr>
            <w:tcW w:w="1655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(2.) 18. 10. </w:t>
            </w:r>
          </w:p>
        </w:tc>
        <w:tc>
          <w:tcPr>
            <w:tcW w:w="4928" w:type="dxa"/>
          </w:tcPr>
          <w:p w:rsidR="004612AA" w:rsidRDefault="00F563DA">
            <w:pPr>
              <w:spacing w:before="120" w:line="12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Stav, struktura a dynamika kriminality.</w:t>
            </w:r>
          </w:p>
        </w:tc>
        <w:tc>
          <w:tcPr>
            <w:tcW w:w="2566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doc. </w:t>
            </w:r>
            <w:proofErr w:type="spellStart"/>
            <w:r>
              <w:rPr>
                <w:b/>
                <w:sz w:val="27"/>
                <w:szCs w:val="27"/>
              </w:rPr>
              <w:t>Gřivna</w:t>
            </w:r>
            <w:proofErr w:type="spellEnd"/>
          </w:p>
        </w:tc>
      </w:tr>
      <w:tr w:rsidR="004612AA">
        <w:trPr>
          <w:trHeight w:val="726"/>
        </w:trPr>
        <w:tc>
          <w:tcPr>
            <w:tcW w:w="1655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(3.) 25. 10.</w:t>
            </w:r>
          </w:p>
        </w:tc>
        <w:tc>
          <w:tcPr>
            <w:tcW w:w="4928" w:type="dxa"/>
          </w:tcPr>
          <w:p w:rsidR="004612AA" w:rsidRDefault="00F563DA">
            <w:pPr>
              <w:spacing w:before="120" w:line="12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Kriminologické školy a směry I.</w:t>
            </w:r>
          </w:p>
        </w:tc>
        <w:tc>
          <w:tcPr>
            <w:tcW w:w="2566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dr. Hořák</w:t>
            </w:r>
          </w:p>
        </w:tc>
      </w:tr>
      <w:tr w:rsidR="004612AA">
        <w:trPr>
          <w:trHeight w:val="726"/>
        </w:trPr>
        <w:tc>
          <w:tcPr>
            <w:tcW w:w="1655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(4.) 1. 11.</w:t>
            </w:r>
          </w:p>
        </w:tc>
        <w:tc>
          <w:tcPr>
            <w:tcW w:w="4928" w:type="dxa"/>
          </w:tcPr>
          <w:p w:rsidR="004612AA" w:rsidRDefault="00F563DA">
            <w:pPr>
              <w:spacing w:before="120" w:line="12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Kriminologické školy a směry II.</w:t>
            </w:r>
          </w:p>
        </w:tc>
        <w:tc>
          <w:tcPr>
            <w:tcW w:w="2566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dr. Hořák</w:t>
            </w:r>
          </w:p>
        </w:tc>
      </w:tr>
      <w:tr w:rsidR="004612AA">
        <w:trPr>
          <w:trHeight w:val="726"/>
        </w:trPr>
        <w:tc>
          <w:tcPr>
            <w:tcW w:w="1655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(5.) 8. 11.</w:t>
            </w:r>
          </w:p>
        </w:tc>
        <w:tc>
          <w:tcPr>
            <w:tcW w:w="4928" w:type="dxa"/>
          </w:tcPr>
          <w:p w:rsidR="004612AA" w:rsidRDefault="00F563DA">
            <w:pPr>
              <w:spacing w:before="120" w:line="12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Trestní politika státu.</w:t>
            </w:r>
          </w:p>
        </w:tc>
        <w:tc>
          <w:tcPr>
            <w:tcW w:w="2566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dr. Drápal</w:t>
            </w:r>
          </w:p>
        </w:tc>
      </w:tr>
      <w:tr w:rsidR="004612AA">
        <w:trPr>
          <w:trHeight w:val="726"/>
        </w:trPr>
        <w:tc>
          <w:tcPr>
            <w:tcW w:w="1655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(6.) 15. 11.</w:t>
            </w:r>
          </w:p>
        </w:tc>
        <w:tc>
          <w:tcPr>
            <w:tcW w:w="4928" w:type="dxa"/>
          </w:tcPr>
          <w:p w:rsidR="004612AA" w:rsidRDefault="00F563DA">
            <w:pPr>
              <w:spacing w:before="120" w:line="12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Pachatel trestného činu.</w:t>
            </w:r>
          </w:p>
        </w:tc>
        <w:tc>
          <w:tcPr>
            <w:tcW w:w="2566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dr. Hořák</w:t>
            </w:r>
          </w:p>
        </w:tc>
      </w:tr>
      <w:tr w:rsidR="004612AA">
        <w:trPr>
          <w:trHeight w:val="726"/>
        </w:trPr>
        <w:tc>
          <w:tcPr>
            <w:tcW w:w="1655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(7.) 22. 11.</w:t>
            </w:r>
          </w:p>
        </w:tc>
        <w:tc>
          <w:tcPr>
            <w:tcW w:w="4928" w:type="dxa"/>
          </w:tcPr>
          <w:p w:rsidR="004612AA" w:rsidRDefault="00F563DA">
            <w:pPr>
              <w:spacing w:before="120" w:line="12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Kriminologické aspekty ukládání trestů.</w:t>
            </w:r>
          </w:p>
        </w:tc>
        <w:tc>
          <w:tcPr>
            <w:tcW w:w="2566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dr. Drápal</w:t>
            </w:r>
          </w:p>
        </w:tc>
      </w:tr>
      <w:tr w:rsidR="004612AA">
        <w:trPr>
          <w:trHeight w:val="726"/>
        </w:trPr>
        <w:tc>
          <w:tcPr>
            <w:tcW w:w="1655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(8.) 29. 11.</w:t>
            </w:r>
          </w:p>
        </w:tc>
        <w:tc>
          <w:tcPr>
            <w:tcW w:w="4928" w:type="dxa"/>
          </w:tcPr>
          <w:p w:rsidR="004612AA" w:rsidRDefault="00F563DA">
            <w:pPr>
              <w:spacing w:before="120" w:line="12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Vězeňství.</w:t>
            </w:r>
          </w:p>
        </w:tc>
        <w:tc>
          <w:tcPr>
            <w:tcW w:w="2566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dr. Drápal</w:t>
            </w:r>
          </w:p>
        </w:tc>
      </w:tr>
      <w:tr w:rsidR="004612AA">
        <w:trPr>
          <w:trHeight w:val="726"/>
        </w:trPr>
        <w:tc>
          <w:tcPr>
            <w:tcW w:w="1655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(9.) 6. 12.</w:t>
            </w:r>
          </w:p>
        </w:tc>
        <w:tc>
          <w:tcPr>
            <w:tcW w:w="4928" w:type="dxa"/>
          </w:tcPr>
          <w:p w:rsidR="004612AA" w:rsidRDefault="00F563DA">
            <w:pPr>
              <w:spacing w:before="120" w:line="12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Kriminologická prevence.</w:t>
            </w:r>
          </w:p>
        </w:tc>
        <w:tc>
          <w:tcPr>
            <w:tcW w:w="2566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Mgr. Holas</w:t>
            </w:r>
          </w:p>
        </w:tc>
      </w:tr>
      <w:tr w:rsidR="004612AA">
        <w:trPr>
          <w:trHeight w:val="726"/>
        </w:trPr>
        <w:tc>
          <w:tcPr>
            <w:tcW w:w="1655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(10.) 13. 12.</w:t>
            </w:r>
          </w:p>
        </w:tc>
        <w:tc>
          <w:tcPr>
            <w:tcW w:w="4928" w:type="dxa"/>
          </w:tcPr>
          <w:p w:rsidR="004612AA" w:rsidRDefault="00F563DA">
            <w:pPr>
              <w:spacing w:before="120" w:line="12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Oběť trestného činu.</w:t>
            </w:r>
          </w:p>
        </w:tc>
        <w:tc>
          <w:tcPr>
            <w:tcW w:w="2566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dr. Hořák</w:t>
            </w:r>
          </w:p>
        </w:tc>
      </w:tr>
      <w:tr w:rsidR="004612AA">
        <w:trPr>
          <w:trHeight w:val="726"/>
        </w:trPr>
        <w:tc>
          <w:tcPr>
            <w:tcW w:w="1655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(11.) 20. 12.</w:t>
            </w:r>
          </w:p>
        </w:tc>
        <w:tc>
          <w:tcPr>
            <w:tcW w:w="4928" w:type="dxa"/>
          </w:tcPr>
          <w:p w:rsidR="004612AA" w:rsidRDefault="00F563DA">
            <w:pPr>
              <w:spacing w:before="120" w:line="12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Kriminologický výzkum.</w:t>
            </w:r>
          </w:p>
        </w:tc>
        <w:tc>
          <w:tcPr>
            <w:tcW w:w="2566" w:type="dxa"/>
          </w:tcPr>
          <w:p w:rsidR="004612AA" w:rsidRDefault="00F563DA">
            <w:pPr>
              <w:spacing w:before="120" w:line="12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dr. Drápal</w:t>
            </w:r>
          </w:p>
        </w:tc>
      </w:tr>
    </w:tbl>
    <w:p w:rsidR="004612AA" w:rsidRDefault="004612AA">
      <w:pPr>
        <w:spacing w:before="120" w:line="120" w:lineRule="auto"/>
        <w:jc w:val="both"/>
        <w:rPr>
          <w:b/>
          <w:sz w:val="27"/>
          <w:szCs w:val="27"/>
        </w:rPr>
      </w:pPr>
    </w:p>
    <w:p w:rsidR="004612AA" w:rsidRDefault="004612AA">
      <w:pPr>
        <w:spacing w:before="120" w:line="120" w:lineRule="auto"/>
        <w:jc w:val="both"/>
        <w:rPr>
          <w:b/>
          <w:sz w:val="28"/>
          <w:szCs w:val="20"/>
        </w:rPr>
      </w:pPr>
    </w:p>
    <w:p w:rsidR="004612AA" w:rsidRDefault="004612AA">
      <w:pPr>
        <w:spacing w:before="120" w:line="120" w:lineRule="auto"/>
        <w:rPr>
          <w:b/>
          <w:szCs w:val="20"/>
          <w:u w:val="single"/>
        </w:rPr>
      </w:pPr>
    </w:p>
    <w:p w:rsidR="004612AA" w:rsidRDefault="004612AA">
      <w:pPr>
        <w:spacing w:line="360" w:lineRule="auto"/>
        <w:jc w:val="both"/>
      </w:pPr>
    </w:p>
    <w:p w:rsidR="004612AA" w:rsidRDefault="004612AA">
      <w:pPr>
        <w:spacing w:before="120"/>
        <w:jc w:val="both"/>
        <w:rPr>
          <w:b/>
          <w:bCs/>
          <w:sz w:val="26"/>
          <w:szCs w:val="26"/>
        </w:rPr>
      </w:pPr>
    </w:p>
    <w:sectPr w:rsidR="004612A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AA"/>
    <w:rsid w:val="004612AA"/>
    <w:rsid w:val="00A143B3"/>
    <w:rsid w:val="00F5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5507"/>
  <w15:docId w15:val="{BDB38AA3-CD52-4C5A-800D-4E20A794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929CD"/>
    <w:rPr>
      <w:sz w:val="24"/>
      <w:szCs w:val="24"/>
    </w:rPr>
  </w:style>
  <w:style w:type="paragraph" w:styleId="Nadpis3">
    <w:name w:val="heading 3"/>
    <w:basedOn w:val="Normln"/>
    <w:next w:val="Normln"/>
    <w:qFormat/>
    <w:rsid w:val="00A111EA"/>
    <w:pPr>
      <w:keepNext/>
      <w:spacing w:before="120"/>
      <w:outlineLvl w:val="2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rsid w:val="00A111EA"/>
    <w:pPr>
      <w:keepNext/>
      <w:spacing w:before="120"/>
      <w:jc w:val="both"/>
      <w:outlineLvl w:val="4"/>
    </w:pPr>
    <w:rPr>
      <w:b/>
      <w:sz w:val="20"/>
      <w:szCs w:val="20"/>
    </w:rPr>
  </w:style>
  <w:style w:type="paragraph" w:styleId="Nadpis7">
    <w:name w:val="heading 7"/>
    <w:basedOn w:val="Normln"/>
    <w:next w:val="Normln"/>
    <w:qFormat/>
    <w:rsid w:val="00A111EA"/>
    <w:pPr>
      <w:keepNext/>
      <w:spacing w:before="120"/>
      <w:jc w:val="center"/>
      <w:outlineLvl w:val="6"/>
    </w:pPr>
    <w:rPr>
      <w:b/>
      <w:szCs w:val="20"/>
    </w:rPr>
  </w:style>
  <w:style w:type="paragraph" w:styleId="Nadpis8">
    <w:name w:val="heading 8"/>
    <w:basedOn w:val="Normln"/>
    <w:next w:val="Normln"/>
    <w:qFormat/>
    <w:rsid w:val="00A111EA"/>
    <w:pPr>
      <w:keepNext/>
      <w:spacing w:before="120" w:line="480" w:lineRule="auto"/>
      <w:jc w:val="center"/>
      <w:outlineLvl w:val="7"/>
    </w:pPr>
    <w:rPr>
      <w:b/>
      <w:sz w:val="30"/>
      <w:szCs w:val="20"/>
      <w:u w:val="single"/>
    </w:rPr>
  </w:style>
  <w:style w:type="paragraph" w:styleId="Nadpis9">
    <w:name w:val="heading 9"/>
    <w:basedOn w:val="Normln"/>
    <w:next w:val="Normln"/>
    <w:qFormat/>
    <w:rsid w:val="00A111EA"/>
    <w:pPr>
      <w:keepNext/>
      <w:spacing w:before="120"/>
      <w:jc w:val="center"/>
      <w:outlineLvl w:val="8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qFormat/>
    <w:rsid w:val="00CE477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Zkladntextodsazen2">
    <w:name w:val="Body Text Indent 2"/>
    <w:basedOn w:val="Normln"/>
    <w:qFormat/>
    <w:rsid w:val="00A111EA"/>
    <w:pPr>
      <w:ind w:firstLine="720"/>
      <w:jc w:val="both"/>
    </w:pPr>
    <w:rPr>
      <w:sz w:val="28"/>
      <w:szCs w:val="20"/>
    </w:rPr>
  </w:style>
  <w:style w:type="paragraph" w:styleId="Textbubliny">
    <w:name w:val="Balloon Text"/>
    <w:basedOn w:val="Normln"/>
    <w:link w:val="TextbublinyChar"/>
    <w:qFormat/>
    <w:rsid w:val="00CE47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07DF"/>
    <w:pPr>
      <w:ind w:left="720"/>
      <w:contextualSpacing/>
    </w:pPr>
  </w:style>
  <w:style w:type="table" w:styleId="Mkatabulky">
    <w:name w:val="Table Grid"/>
    <w:basedOn w:val="Normlntabulka"/>
    <w:rsid w:val="00C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trestního práva</vt:lpstr>
    </vt:vector>
  </TitlesOfParts>
  <Company>Univerzita Karlova v Praze, Právnická fakulta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trestního práva</dc:title>
  <dc:subject/>
  <dc:creator>Bohuslav</dc:creator>
  <dc:description/>
  <cp:lastModifiedBy>Martina Barova</cp:lastModifiedBy>
  <cp:revision>3</cp:revision>
  <cp:lastPrinted>2015-02-19T10:17:00Z</cp:lastPrinted>
  <dcterms:created xsi:type="dcterms:W3CDTF">2021-09-21T08:45:00Z</dcterms:created>
  <dcterms:modified xsi:type="dcterms:W3CDTF">2021-10-11T09:42:00Z</dcterms:modified>
  <dc:language>cs-CZ</dc:language>
</cp:coreProperties>
</file>