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80" w:rsidRDefault="00781528" w:rsidP="00781528">
      <w:pPr>
        <w:jc w:val="center"/>
      </w:pPr>
      <w:r w:rsidRPr="00E87294">
        <w:rPr>
          <w:b/>
        </w:rPr>
        <w:t>Theory and Methods</w:t>
      </w:r>
    </w:p>
    <w:p w:rsidR="00205330" w:rsidRDefault="006E58CA" w:rsidP="00781528">
      <w:pPr>
        <w:jc w:val="center"/>
      </w:pPr>
      <w:r>
        <w:t>(</w:t>
      </w:r>
      <w:r w:rsidR="004B1C16">
        <w:t xml:space="preserve">JMM 271 / </w:t>
      </w:r>
      <w:r>
        <w:t>JMM</w:t>
      </w:r>
      <w:r w:rsidR="004B1C16">
        <w:t xml:space="preserve"> </w:t>
      </w:r>
      <w:r>
        <w:t>654</w:t>
      </w:r>
      <w:r w:rsidR="005B00EC">
        <w:t>)</w:t>
      </w:r>
    </w:p>
    <w:p w:rsidR="005B00EC" w:rsidRDefault="005B00EC" w:rsidP="00781528">
      <w:pPr>
        <w:jc w:val="center"/>
      </w:pPr>
      <w:r>
        <w:t>Mondays, 12:30 – 13:50, room # J3017</w:t>
      </w:r>
    </w:p>
    <w:p w:rsidR="005B00EC" w:rsidRPr="00205330" w:rsidRDefault="005B00EC" w:rsidP="00781528">
      <w:pPr>
        <w:jc w:val="center"/>
      </w:pPr>
    </w:p>
    <w:p w:rsidR="00D77590" w:rsidRDefault="00D77590" w:rsidP="00D77590">
      <w:pPr>
        <w:rPr>
          <w:lang w:val="cs-CZ"/>
        </w:rPr>
      </w:pPr>
      <w:r>
        <w:t xml:space="preserve">Lucie </w:t>
      </w:r>
      <w:r>
        <w:rPr>
          <w:lang w:val="cs-CZ"/>
        </w:rPr>
        <w:t>Kýrová</w:t>
      </w:r>
    </w:p>
    <w:p w:rsidR="00D77590" w:rsidRDefault="00422180" w:rsidP="00D77590">
      <w:hyperlink r:id="rId5" w:history="1">
        <w:r w:rsidR="00D77590" w:rsidRPr="00EC5C5C">
          <w:rPr>
            <w:rStyle w:val="Hyperlink"/>
          </w:rPr>
          <w:t>lucie.kyrova@fsv.cuni.cz</w:t>
        </w:r>
      </w:hyperlink>
    </w:p>
    <w:p w:rsidR="00D77590" w:rsidRDefault="00D77590" w:rsidP="00D77590">
      <w:r>
        <w:rPr>
          <w:lang w:val="cs-CZ"/>
        </w:rPr>
        <w:t>Office room 3080</w:t>
      </w:r>
    </w:p>
    <w:p w:rsidR="00D77590" w:rsidRDefault="00D77590" w:rsidP="00D77590">
      <w:r>
        <w:t>Office hours: Mondays, 15:00 – 16:00</w:t>
      </w:r>
    </w:p>
    <w:p w:rsidR="00D77590" w:rsidRDefault="00D77590" w:rsidP="00D77590">
      <w:r>
        <w:tab/>
        <w:t xml:space="preserve">          Tuesdays, 11:00 – 12:00 and by appointment via email.</w:t>
      </w:r>
    </w:p>
    <w:p w:rsidR="00781528" w:rsidRDefault="00781528" w:rsidP="00781528"/>
    <w:p w:rsidR="00D96355" w:rsidRDefault="00781528" w:rsidP="00781528">
      <w:r>
        <w:t>The central purpose of this course is to introduce students to the theoretical approaches and methods that have inf</w:t>
      </w:r>
      <w:r w:rsidR="006D6F4A">
        <w:t>ormed and shaped the writing of</w:t>
      </w:r>
      <w:r w:rsidR="0095441F">
        <w:t xml:space="preserve"> </w:t>
      </w:r>
      <w:r>
        <w:t>history</w:t>
      </w:r>
      <w:r w:rsidR="006E58CA">
        <w:t xml:space="preserve">. </w:t>
      </w:r>
      <w:r w:rsidR="0036792B">
        <w:t>While we will concentrate on the researching and writing of history, many of the ap</w:t>
      </w:r>
      <w:r w:rsidR="0095441F">
        <w:t>proaches we will discuss are</w:t>
      </w:r>
      <w:r w:rsidR="0036792B">
        <w:t xml:space="preserve"> applicable to other fields of scholarly pursuit.</w:t>
      </w:r>
      <w:r w:rsidR="006E58CA">
        <w:t xml:space="preserve"> </w:t>
      </w:r>
      <w:r w:rsidR="0095441F">
        <w:t xml:space="preserve">When possible, our </w:t>
      </w:r>
      <w:r w:rsidR="002D69D7">
        <w:t xml:space="preserve">readings will concentrate on one event – the Salem witch trials of 1692, to </w:t>
      </w:r>
      <w:r w:rsidR="00FD480C">
        <w:t xml:space="preserve">better </w:t>
      </w:r>
      <w:r w:rsidR="002D69D7">
        <w:t xml:space="preserve">demonstrate </w:t>
      </w:r>
      <w:r w:rsidR="00FD480C">
        <w:t>the different approaches and methods</w:t>
      </w:r>
      <w:r w:rsidR="00D96355">
        <w:t xml:space="preserve"> that </w:t>
      </w:r>
      <w:r w:rsidR="00F2059E">
        <w:t xml:space="preserve">scholars </w:t>
      </w:r>
      <w:r w:rsidR="006D6F4A">
        <w:t xml:space="preserve">have </w:t>
      </w:r>
      <w:r w:rsidR="00F2059E">
        <w:t>use</w:t>
      </w:r>
      <w:r w:rsidR="006D6F4A">
        <w:t>d</w:t>
      </w:r>
      <w:r w:rsidR="00F2059E">
        <w:t xml:space="preserve"> to explain historical event</w:t>
      </w:r>
      <w:r w:rsidR="00276103">
        <w:t>s as well as contemporary issues</w:t>
      </w:r>
      <w:r w:rsidR="0095441F">
        <w:t>.</w:t>
      </w:r>
      <w:r w:rsidR="0047562B">
        <w:t xml:space="preserve"> These</w:t>
      </w:r>
      <w:r w:rsidR="00B40A42">
        <w:t xml:space="preserve"> will be suppl</w:t>
      </w:r>
      <w:r w:rsidR="0047562B">
        <w:t>eme</w:t>
      </w:r>
      <w:r w:rsidR="00835BA3">
        <w:t>nted by a selection of other rea</w:t>
      </w:r>
      <w:r w:rsidR="0047562B">
        <w:t>dings</w:t>
      </w:r>
      <w:r w:rsidR="00B40A42">
        <w:t xml:space="preserve"> that will further help to demonstrate the different</w:t>
      </w:r>
      <w:r w:rsidR="006D6F4A">
        <w:t xml:space="preserve"> approaches,</w:t>
      </w:r>
      <w:r w:rsidR="0047562B">
        <w:t xml:space="preserve"> methods</w:t>
      </w:r>
      <w:r w:rsidR="006D6F4A">
        <w:t>, and schools</w:t>
      </w:r>
      <w:r w:rsidR="0047562B">
        <w:t xml:space="preserve"> </w:t>
      </w:r>
      <w:r w:rsidR="00B40A42">
        <w:t>discuss</w:t>
      </w:r>
      <w:r w:rsidR="0047562B">
        <w:t>ed</w:t>
      </w:r>
      <w:r w:rsidR="00942451">
        <w:t xml:space="preserve"> and cover those approaches not applicable to the Salem events.</w:t>
      </w:r>
    </w:p>
    <w:p w:rsidR="00D96355" w:rsidRDefault="00D96355" w:rsidP="00781528"/>
    <w:p w:rsidR="0099590E" w:rsidRDefault="00B24A4B" w:rsidP="00781528">
      <w:r>
        <w:rPr>
          <w:b/>
        </w:rPr>
        <w:t>Assignments</w:t>
      </w:r>
    </w:p>
    <w:p w:rsidR="00686DF3" w:rsidRDefault="00686DF3" w:rsidP="00781528">
      <w:r>
        <w:t>Discussions</w:t>
      </w:r>
    </w:p>
    <w:p w:rsidR="00B24A4B" w:rsidRDefault="00B24A4B" w:rsidP="00781528">
      <w:r>
        <w:t>Our class meeting</w:t>
      </w:r>
      <w:r w:rsidR="007F3F8B">
        <w:t>s</w:t>
      </w:r>
      <w:r>
        <w:t xml:space="preserve"> will consist of discussions of the assigned materials and related topics and a short presentation of background information to each school of thought. With the exception of our first </w:t>
      </w:r>
      <w:r w:rsidR="006D7787">
        <w:t xml:space="preserve">and last </w:t>
      </w:r>
      <w:r>
        <w:t>class</w:t>
      </w:r>
      <w:r w:rsidR="006D7787">
        <w:t>es</w:t>
      </w:r>
      <w:r>
        <w:t xml:space="preserve">, </w:t>
      </w:r>
      <w:r w:rsidR="007F3F8B">
        <w:t xml:space="preserve">each week two students will be in charge of the class discussion and material presentation. </w:t>
      </w:r>
      <w:r w:rsidR="00085DF9">
        <w:t xml:space="preserve">I will provide the background information for </w:t>
      </w:r>
      <w:r w:rsidR="006D7787">
        <w:t xml:space="preserve">each </w:t>
      </w:r>
      <w:r w:rsidR="00557F4F">
        <w:t>historiography school</w:t>
      </w:r>
      <w:r w:rsidR="00085DF9">
        <w:t xml:space="preserve">. </w:t>
      </w:r>
    </w:p>
    <w:p w:rsidR="0020314F" w:rsidRDefault="0020314F" w:rsidP="00781528"/>
    <w:p w:rsidR="00686DF3" w:rsidRDefault="004C6FE3" w:rsidP="00781528">
      <w:r>
        <w:t>Historiography paper</w:t>
      </w:r>
    </w:p>
    <w:p w:rsidR="000D15C7" w:rsidRDefault="00291303" w:rsidP="00781528">
      <w:r>
        <w:t>You will write a</w:t>
      </w:r>
      <w:r w:rsidR="0020314F">
        <w:t xml:space="preserve"> </w:t>
      </w:r>
      <w:r w:rsidR="00FA7FD9">
        <w:t>historiography paper</w:t>
      </w:r>
      <w:r w:rsidR="0020314F">
        <w:t xml:space="preserve"> on a topic of your choice</w:t>
      </w:r>
      <w:r w:rsidR="00FA7FD9">
        <w:t>, not to exceed 8</w:t>
      </w:r>
      <w:r>
        <w:t xml:space="preserve"> double-spaced pages</w:t>
      </w:r>
      <w:r w:rsidR="0020314F">
        <w:t>. You can use your MA Thesis topic, if you want to.</w:t>
      </w:r>
      <w:r>
        <w:t xml:space="preserve"> In this exercise, you will </w:t>
      </w:r>
      <w:r w:rsidR="005B594E">
        <w:t xml:space="preserve">critically </w:t>
      </w:r>
      <w:r w:rsidR="00FA7FD9">
        <w:t xml:space="preserve">evaluate the existing literature on your topic, its </w:t>
      </w:r>
      <w:r w:rsidR="005B594E">
        <w:t xml:space="preserve">merits and shortcomings. </w:t>
      </w:r>
      <w:r>
        <w:t xml:space="preserve">You will do this assignment in stages – from a selection of </w:t>
      </w:r>
      <w:r w:rsidR="00C10188">
        <w:t xml:space="preserve">a </w:t>
      </w:r>
      <w:r>
        <w:t>topic and preliminary bibliography, through a book review of one of your sources</w:t>
      </w:r>
      <w:r w:rsidR="00CD2A69">
        <w:t xml:space="preserve">, a draft of the </w:t>
      </w:r>
      <w:r w:rsidR="00FA7FD9">
        <w:t>lit review</w:t>
      </w:r>
      <w:r w:rsidR="00CD2A69">
        <w:t xml:space="preserve"> to be </w:t>
      </w:r>
      <w:r w:rsidR="00C10188">
        <w:t xml:space="preserve">critiqued </w:t>
      </w:r>
      <w:r w:rsidR="00CD2A69">
        <w:t xml:space="preserve">by a colleague in </w:t>
      </w:r>
      <w:r w:rsidR="00C10188">
        <w:t xml:space="preserve">the </w:t>
      </w:r>
      <w:r w:rsidR="00CD2A69">
        <w:t>class,</w:t>
      </w:r>
      <w:r w:rsidR="00FA7FD9">
        <w:t xml:space="preserve"> to the final paper.</w:t>
      </w:r>
      <w:r w:rsidR="0071600A">
        <w:t xml:space="preserve"> </w:t>
      </w:r>
      <w:r w:rsidR="00460031">
        <w:t>Detailed instructions and due dates will be posted on SIS.</w:t>
      </w:r>
    </w:p>
    <w:p w:rsidR="000D15C7" w:rsidRDefault="000D15C7" w:rsidP="00781528"/>
    <w:p w:rsidR="000D15C7" w:rsidRDefault="000D15C7" w:rsidP="00781528">
      <w:r>
        <w:rPr>
          <w:b/>
        </w:rPr>
        <w:t>Grading</w:t>
      </w:r>
    </w:p>
    <w:p w:rsidR="000D15C7" w:rsidRDefault="004A422D" w:rsidP="00781528">
      <w:r>
        <w:t>Class attendance and</w:t>
      </w:r>
      <w:r w:rsidR="000D15C7">
        <w:t xml:space="preserve"> participation in discussions = 10%</w:t>
      </w:r>
    </w:p>
    <w:p w:rsidR="000D15C7" w:rsidRDefault="000D15C7" w:rsidP="00781528">
      <w:r>
        <w:t xml:space="preserve">Leading </w:t>
      </w:r>
      <w:r w:rsidR="007F3F8B">
        <w:t xml:space="preserve">a </w:t>
      </w:r>
      <w:r>
        <w:t>discussion = 20%</w:t>
      </w:r>
    </w:p>
    <w:p w:rsidR="000D15C7" w:rsidRDefault="000D15C7" w:rsidP="00781528">
      <w:r>
        <w:t>Book review = 20%</w:t>
      </w:r>
    </w:p>
    <w:p w:rsidR="000D15C7" w:rsidRPr="000D15C7" w:rsidRDefault="00002F65" w:rsidP="00781528">
      <w:r>
        <w:t>Final paper</w:t>
      </w:r>
      <w:r w:rsidR="000D15C7">
        <w:t xml:space="preserve"> = 50%</w:t>
      </w:r>
    </w:p>
    <w:p w:rsidR="00686DF3" w:rsidRPr="00B24A4B" w:rsidRDefault="00686DF3" w:rsidP="00781528"/>
    <w:p w:rsidR="00A26F7F" w:rsidRPr="00A26F7F" w:rsidRDefault="00F047A0" w:rsidP="00781528">
      <w:r>
        <w:rPr>
          <w:b/>
        </w:rPr>
        <w:t>Readings</w:t>
      </w:r>
    </w:p>
    <w:p w:rsidR="00F41C94" w:rsidRDefault="00716C4E" w:rsidP="00781528">
      <w:proofErr w:type="spellStart"/>
      <w:r>
        <w:t>Mappen</w:t>
      </w:r>
      <w:proofErr w:type="spellEnd"/>
      <w:r>
        <w:t xml:space="preserve">, Marc. </w:t>
      </w:r>
      <w:r w:rsidR="00DF7462">
        <w:rPr>
          <w:i/>
        </w:rPr>
        <w:t>Witches and Historians</w:t>
      </w:r>
      <w:r>
        <w:rPr>
          <w:i/>
        </w:rPr>
        <w:t>: Interpretations of Salem</w:t>
      </w:r>
      <w:r>
        <w:t>. 2</w:t>
      </w:r>
      <w:r w:rsidRPr="00716C4E">
        <w:rPr>
          <w:vertAlign w:val="superscript"/>
        </w:rPr>
        <w:t>nd</w:t>
      </w:r>
      <w:r>
        <w:t xml:space="preserve"> edition.</w:t>
      </w:r>
      <w:r w:rsidR="00F41C94">
        <w:t xml:space="preserve"> </w:t>
      </w:r>
      <w:r>
        <w:t xml:space="preserve">Malabar, Florida: Krieger </w:t>
      </w:r>
    </w:p>
    <w:p w:rsidR="00F047A0" w:rsidRDefault="00716C4E" w:rsidP="00F41C94">
      <w:pPr>
        <w:ind w:firstLine="720"/>
      </w:pPr>
      <w:r>
        <w:t>Publishing Company, 1996.</w:t>
      </w:r>
      <w:r w:rsidR="00F047A0">
        <w:t xml:space="preserve"> </w:t>
      </w:r>
    </w:p>
    <w:p w:rsidR="00F047A0" w:rsidRDefault="00F047A0" w:rsidP="00F047A0"/>
    <w:p w:rsidR="00584E8E" w:rsidRDefault="00F047A0" w:rsidP="00F047A0">
      <w:r>
        <w:t xml:space="preserve">Assigned chapters from </w:t>
      </w:r>
      <w:proofErr w:type="spellStart"/>
      <w:r>
        <w:t>Mappen</w:t>
      </w:r>
      <w:proofErr w:type="spellEnd"/>
      <w:r>
        <w:t xml:space="preserve"> and other books or articles not available electronically through the </w:t>
      </w:r>
      <w:proofErr w:type="spellStart"/>
      <w:r>
        <w:t>Jinonice</w:t>
      </w:r>
      <w:proofErr w:type="spellEnd"/>
      <w:r>
        <w:t xml:space="preserve"> library will be posted on SIS. </w:t>
      </w:r>
    </w:p>
    <w:p w:rsidR="0099590E" w:rsidRDefault="0099590E" w:rsidP="00781528"/>
    <w:p w:rsidR="003A5D01" w:rsidRDefault="003A5D01" w:rsidP="00781528"/>
    <w:p w:rsidR="002C46A3" w:rsidRDefault="002C46A3" w:rsidP="00781528"/>
    <w:p w:rsidR="008B7046" w:rsidRPr="00100FBD" w:rsidRDefault="008B7046" w:rsidP="00781528">
      <w:pPr>
        <w:rPr>
          <w:b/>
        </w:rPr>
      </w:pPr>
      <w:r w:rsidRPr="00100FBD">
        <w:rPr>
          <w:b/>
        </w:rPr>
        <w:t>Schedule</w:t>
      </w:r>
    </w:p>
    <w:p w:rsidR="002133ED" w:rsidRDefault="002133ED" w:rsidP="00781528">
      <w:r w:rsidRPr="001D7F81">
        <w:rPr>
          <w:b/>
        </w:rPr>
        <w:t>Week 1</w:t>
      </w:r>
      <w:r>
        <w:tab/>
      </w:r>
      <w:r>
        <w:tab/>
      </w:r>
      <w:r w:rsidRPr="001D7F81">
        <w:rPr>
          <w:b/>
        </w:rPr>
        <w:t xml:space="preserve">Primary Sources and </w:t>
      </w:r>
      <w:proofErr w:type="gramStart"/>
      <w:r w:rsidRPr="001D7F81">
        <w:rPr>
          <w:b/>
        </w:rPr>
        <w:t>The</w:t>
      </w:r>
      <w:proofErr w:type="gramEnd"/>
      <w:r w:rsidRPr="001D7F81">
        <w:rPr>
          <w:b/>
        </w:rPr>
        <w:t xml:space="preserve"> Empiricists</w:t>
      </w:r>
    </w:p>
    <w:p w:rsidR="008C36D4" w:rsidRDefault="008C36D4" w:rsidP="00781528">
      <w:r>
        <w:tab/>
      </w:r>
      <w:r>
        <w:tab/>
      </w:r>
      <w:proofErr w:type="spellStart"/>
      <w:r>
        <w:t>Mappen</w:t>
      </w:r>
      <w:proofErr w:type="spellEnd"/>
      <w:r>
        <w:t>, “The Verdict of Contemporaries,” pp. 20 - 35</w:t>
      </w:r>
    </w:p>
    <w:p w:rsidR="009E59FD" w:rsidRDefault="009E59FD" w:rsidP="00781528">
      <w:r>
        <w:tab/>
      </w:r>
      <w:r>
        <w:tab/>
      </w:r>
      <w:r w:rsidR="008C36D4">
        <w:tab/>
      </w:r>
      <w:r>
        <w:t>Cotton Mather, “Satan’s Attack</w:t>
      </w:r>
      <w:r w:rsidR="008C36D4">
        <w:t xml:space="preserve"> on New England</w:t>
      </w:r>
      <w:r>
        <w:t>”</w:t>
      </w:r>
    </w:p>
    <w:p w:rsidR="009E59FD" w:rsidRDefault="009E59FD" w:rsidP="00781528">
      <w:r>
        <w:tab/>
      </w:r>
      <w:r>
        <w:tab/>
      </w:r>
      <w:r w:rsidR="008C36D4">
        <w:tab/>
      </w:r>
      <w:r>
        <w:t xml:space="preserve">Robert </w:t>
      </w:r>
      <w:proofErr w:type="spellStart"/>
      <w:r>
        <w:t>Calef</w:t>
      </w:r>
      <w:proofErr w:type="spellEnd"/>
      <w:r>
        <w:t>, “An Attack on the Trials”</w:t>
      </w:r>
    </w:p>
    <w:p w:rsidR="009E59FD" w:rsidRDefault="009E59FD" w:rsidP="00781528">
      <w:r>
        <w:tab/>
      </w:r>
      <w:r>
        <w:tab/>
      </w:r>
      <w:r w:rsidR="008C36D4">
        <w:tab/>
      </w:r>
      <w:r>
        <w:t>John Hale, “The Lessons of Salem”</w:t>
      </w:r>
    </w:p>
    <w:p w:rsidR="007C1795" w:rsidRDefault="007C1795" w:rsidP="00781528"/>
    <w:p w:rsidR="002133ED" w:rsidRDefault="002D69D7" w:rsidP="002D69D7">
      <w:pPr>
        <w:ind w:left="1440"/>
      </w:pPr>
      <w:r>
        <w:t xml:space="preserve">Analyze the primary sources – What can you learn about the events from these sources? What can you learn about their authors? About the time, place and society they were created in?  What are these sources? Who wrote them? When were they created? Where were they created? And why (for what purpose) were they created? </w:t>
      </w:r>
    </w:p>
    <w:p w:rsidR="002D69D7" w:rsidRDefault="002D69D7" w:rsidP="002D69D7">
      <w:pPr>
        <w:ind w:left="1440"/>
      </w:pPr>
    </w:p>
    <w:p w:rsidR="002133ED" w:rsidRPr="001D7F81" w:rsidRDefault="002133ED" w:rsidP="00781528">
      <w:pPr>
        <w:rPr>
          <w:b/>
        </w:rPr>
      </w:pPr>
      <w:r w:rsidRPr="001D7F81">
        <w:rPr>
          <w:b/>
        </w:rPr>
        <w:t>Week 2</w:t>
      </w:r>
      <w:r w:rsidRPr="001D7F81">
        <w:rPr>
          <w:b/>
        </w:rPr>
        <w:tab/>
      </w:r>
      <w:r w:rsidRPr="001D7F81">
        <w:rPr>
          <w:b/>
        </w:rPr>
        <w:tab/>
        <w:t>Soc</w:t>
      </w:r>
      <w:r w:rsidR="00C01E31" w:rsidRPr="001D7F81">
        <w:rPr>
          <w:b/>
        </w:rPr>
        <w:t>ial History – Class and Marxist</w:t>
      </w:r>
      <w:r w:rsidRPr="001D7F81">
        <w:rPr>
          <w:b/>
        </w:rPr>
        <w:t xml:space="preserve"> Historians</w:t>
      </w:r>
    </w:p>
    <w:p w:rsidR="002133ED" w:rsidRDefault="006C202E" w:rsidP="00781528">
      <w:r>
        <w:tab/>
      </w:r>
      <w:r>
        <w:tab/>
        <w:t xml:space="preserve">Stone, Lawrence, “A New Interpretation of Witchcraft,” in </w:t>
      </w:r>
      <w:proofErr w:type="spellStart"/>
      <w:r>
        <w:t>Mappen</w:t>
      </w:r>
      <w:proofErr w:type="spellEnd"/>
      <w:r>
        <w:t>, pp. 10 – 19.</w:t>
      </w:r>
    </w:p>
    <w:p w:rsidR="00301F79" w:rsidRDefault="00C63957" w:rsidP="00301F79">
      <w:r>
        <w:tab/>
      </w:r>
      <w:r>
        <w:tab/>
      </w:r>
      <w:r w:rsidR="00E30DE1">
        <w:t xml:space="preserve">Boyer, Paul and Stephen </w:t>
      </w:r>
      <w:proofErr w:type="spellStart"/>
      <w:r w:rsidR="00E30DE1">
        <w:t>Nissenbaum</w:t>
      </w:r>
      <w:proofErr w:type="spellEnd"/>
      <w:r w:rsidR="00E30DE1">
        <w:t xml:space="preserve">, “A Clash of Two Worlds,” in </w:t>
      </w:r>
      <w:proofErr w:type="spellStart"/>
      <w:r w:rsidR="00E30DE1">
        <w:t>Mappen</w:t>
      </w:r>
      <w:proofErr w:type="spellEnd"/>
      <w:r w:rsidR="00E30DE1">
        <w:t xml:space="preserve">, pp. 115 – </w:t>
      </w:r>
    </w:p>
    <w:p w:rsidR="00C63957" w:rsidRDefault="00E30DE1" w:rsidP="00DE1B19">
      <w:pPr>
        <w:ind w:left="1440" w:firstLine="720"/>
      </w:pPr>
      <w:r>
        <w:t>117.</w:t>
      </w:r>
    </w:p>
    <w:p w:rsidR="00F53B87" w:rsidRDefault="00F53B87" w:rsidP="00E30DE1">
      <w:pPr>
        <w:ind w:left="720" w:firstLine="720"/>
        <w:rPr>
          <w:i/>
        </w:rPr>
      </w:pPr>
      <w:proofErr w:type="spellStart"/>
      <w:r>
        <w:t>Linebaugh</w:t>
      </w:r>
      <w:proofErr w:type="spellEnd"/>
      <w:r>
        <w:t xml:space="preserve">, Peter and Marcus </w:t>
      </w:r>
      <w:proofErr w:type="spellStart"/>
      <w:r>
        <w:t>Redicker</w:t>
      </w:r>
      <w:proofErr w:type="spellEnd"/>
      <w:r>
        <w:t xml:space="preserve">. </w:t>
      </w:r>
      <w:r>
        <w:rPr>
          <w:i/>
        </w:rPr>
        <w:t xml:space="preserve">The Many-Headed Hydra: Sailors, Slaves, </w:t>
      </w:r>
    </w:p>
    <w:p w:rsidR="00DE1B19" w:rsidRDefault="00F53B87" w:rsidP="00DE1B19">
      <w:pPr>
        <w:ind w:left="1440" w:firstLine="720"/>
      </w:pPr>
      <w:r>
        <w:rPr>
          <w:i/>
        </w:rPr>
        <w:t>Commoners, and the Hidden History of the Revolutionary Atlantic</w:t>
      </w:r>
      <w:r>
        <w:t xml:space="preserve">. Boston: </w:t>
      </w:r>
    </w:p>
    <w:p w:rsidR="00DE1B19" w:rsidRDefault="00F53B87" w:rsidP="00DE1B19">
      <w:pPr>
        <w:ind w:left="1440" w:firstLine="720"/>
      </w:pPr>
      <w:r>
        <w:t>Beacon Press, 2000. Chapter 5, “</w:t>
      </w:r>
      <w:proofErr w:type="spellStart"/>
      <w:r>
        <w:t>Hydrarchy</w:t>
      </w:r>
      <w:proofErr w:type="spellEnd"/>
      <w:r>
        <w:t xml:space="preserve">: Sailors, Pirates and the Maritime </w:t>
      </w:r>
    </w:p>
    <w:p w:rsidR="00F53B87" w:rsidRPr="00F53B87" w:rsidRDefault="00F53B87" w:rsidP="00DE1B19">
      <w:pPr>
        <w:ind w:left="1440" w:firstLine="720"/>
      </w:pPr>
      <w:r>
        <w:t xml:space="preserve">State,” pp. 151 – 181. Electronic version available through </w:t>
      </w:r>
      <w:proofErr w:type="spellStart"/>
      <w:r>
        <w:t>Jinonice</w:t>
      </w:r>
      <w:proofErr w:type="spellEnd"/>
      <w:r>
        <w:t xml:space="preserve"> library.</w:t>
      </w:r>
    </w:p>
    <w:p w:rsidR="00E30DE1" w:rsidRDefault="00E30DE1" w:rsidP="00E30DE1">
      <w:pPr>
        <w:ind w:left="720" w:firstLine="720"/>
      </w:pPr>
    </w:p>
    <w:p w:rsidR="00862767" w:rsidRDefault="00862767" w:rsidP="00E30DE1">
      <w:pPr>
        <w:ind w:left="720" w:firstLine="720"/>
      </w:pPr>
      <w:r>
        <w:t xml:space="preserve">Email me your choice of </w:t>
      </w:r>
      <w:r w:rsidRPr="00862767">
        <w:rPr>
          <w:b/>
        </w:rPr>
        <w:t>topic and preliminary bibliography</w:t>
      </w:r>
      <w:r>
        <w:t xml:space="preserve"> by </w:t>
      </w:r>
      <w:r w:rsidRPr="00862767">
        <w:rPr>
          <w:b/>
        </w:rPr>
        <w:t>October 14</w:t>
      </w:r>
      <w:r w:rsidRPr="00862767">
        <w:rPr>
          <w:b/>
          <w:vertAlign w:val="superscript"/>
        </w:rPr>
        <w:t>th</w:t>
      </w:r>
      <w:r w:rsidRPr="00862767">
        <w:rPr>
          <w:b/>
        </w:rPr>
        <w:t>, 8 pm</w:t>
      </w:r>
      <w:r>
        <w:t>.</w:t>
      </w:r>
    </w:p>
    <w:p w:rsidR="00862767" w:rsidRPr="00FF398E" w:rsidRDefault="00862767" w:rsidP="00E30DE1">
      <w:pPr>
        <w:ind w:left="720" w:firstLine="720"/>
      </w:pPr>
    </w:p>
    <w:p w:rsidR="002133ED" w:rsidRPr="00C11D16" w:rsidRDefault="002133ED" w:rsidP="00781528">
      <w:r w:rsidRPr="001D7F81">
        <w:rPr>
          <w:b/>
        </w:rPr>
        <w:t>Week 3</w:t>
      </w:r>
      <w:r w:rsidRPr="001D7F81">
        <w:rPr>
          <w:b/>
        </w:rPr>
        <w:tab/>
      </w:r>
      <w:r w:rsidRPr="001D7F81">
        <w:rPr>
          <w:b/>
        </w:rPr>
        <w:tab/>
        <w:t>Social History – Quantitative History</w:t>
      </w:r>
      <w:r w:rsidR="00C11D16">
        <w:t xml:space="preserve"> (</w:t>
      </w:r>
      <w:r w:rsidR="004D6559">
        <w:t xml:space="preserve">and </w:t>
      </w:r>
      <w:r w:rsidR="00C11D16">
        <w:t>Economic History)</w:t>
      </w:r>
    </w:p>
    <w:p w:rsidR="003B1A7F" w:rsidRDefault="007D2DB5" w:rsidP="003B1A7F">
      <w:r>
        <w:tab/>
      </w:r>
      <w:r>
        <w:tab/>
      </w:r>
      <w:proofErr w:type="spellStart"/>
      <w:r w:rsidR="00E9138B">
        <w:t>Carr</w:t>
      </w:r>
      <w:proofErr w:type="spellEnd"/>
      <w:r w:rsidR="00E9138B">
        <w:t xml:space="preserve">, Lois Green. “Emigration and the Standard of Living: The Seventeenth Century </w:t>
      </w:r>
    </w:p>
    <w:p w:rsidR="00F26C0C" w:rsidRDefault="00E9138B" w:rsidP="00DE1B19">
      <w:pPr>
        <w:ind w:left="2160"/>
      </w:pPr>
      <w:r>
        <w:t xml:space="preserve">Chesapeake.” </w:t>
      </w:r>
      <w:r>
        <w:rPr>
          <w:i/>
        </w:rPr>
        <w:t>The Journal of Economic History</w:t>
      </w:r>
      <w:r>
        <w:t>, Vol. 52, No. 2 (June 1992), pp. 271 – 291.</w:t>
      </w:r>
    </w:p>
    <w:p w:rsidR="00DE1B19" w:rsidRDefault="00301F79" w:rsidP="00DE1B19">
      <w:pPr>
        <w:ind w:left="1440"/>
      </w:pPr>
      <w:r>
        <w:t xml:space="preserve">Demos, John. “Families in Colonial Bristol, Rhode Island: An Exercise </w:t>
      </w:r>
      <w:r w:rsidR="009B2337">
        <w:t xml:space="preserve">in Historical </w:t>
      </w:r>
    </w:p>
    <w:p w:rsidR="00E9138B" w:rsidRDefault="009B2337" w:rsidP="00DE1B19">
      <w:pPr>
        <w:ind w:left="2160"/>
      </w:pPr>
      <w:r>
        <w:t>D</w:t>
      </w:r>
      <w:r w:rsidR="00301F79">
        <w:t xml:space="preserve">emography.” </w:t>
      </w:r>
      <w:r w:rsidR="00301F79">
        <w:rPr>
          <w:i/>
        </w:rPr>
        <w:t>The William and Mary Quarterly</w:t>
      </w:r>
      <w:r w:rsidR="00301F79">
        <w:t>, Vol. 25, No. 1 (January 1968), pp. 40 – 57.</w:t>
      </w:r>
    </w:p>
    <w:p w:rsidR="003B1A7F" w:rsidRPr="00301F79" w:rsidRDefault="003B1A7F" w:rsidP="003B1A7F">
      <w:pPr>
        <w:ind w:left="1440"/>
      </w:pPr>
    </w:p>
    <w:p w:rsidR="001804CE" w:rsidRPr="00774C27" w:rsidRDefault="00DC26C2" w:rsidP="001804CE">
      <w:pPr>
        <w:rPr>
          <w:b/>
        </w:rPr>
      </w:pPr>
      <w:r w:rsidRPr="00774C27">
        <w:rPr>
          <w:b/>
        </w:rPr>
        <w:t>Week 4</w:t>
      </w:r>
      <w:r w:rsidR="00F26C0C" w:rsidRPr="00774C27">
        <w:rPr>
          <w:b/>
        </w:rPr>
        <w:tab/>
      </w:r>
      <w:r w:rsidR="00F26C0C" w:rsidRPr="00774C27">
        <w:rPr>
          <w:b/>
        </w:rPr>
        <w:tab/>
      </w:r>
      <w:r w:rsidR="001804CE" w:rsidRPr="00774C27">
        <w:rPr>
          <w:b/>
        </w:rPr>
        <w:t>Women and Gender History</w:t>
      </w:r>
    </w:p>
    <w:p w:rsidR="001804CE" w:rsidRDefault="001804CE" w:rsidP="001804CE">
      <w:r>
        <w:tab/>
      </w:r>
      <w:r>
        <w:tab/>
      </w:r>
      <w:proofErr w:type="spellStart"/>
      <w:r>
        <w:t>Karlsen</w:t>
      </w:r>
      <w:proofErr w:type="spellEnd"/>
      <w:r>
        <w:t xml:space="preserve">, Carol F. “Witches as Sexual Threat.” In </w:t>
      </w:r>
      <w:proofErr w:type="spellStart"/>
      <w:r>
        <w:t>Mappen</w:t>
      </w:r>
      <w:proofErr w:type="spellEnd"/>
      <w:r>
        <w:t>, pp. 118 – 126.</w:t>
      </w:r>
    </w:p>
    <w:p w:rsidR="001804CE" w:rsidRDefault="001804CE" w:rsidP="001804CE">
      <w:r>
        <w:tab/>
      </w:r>
      <w:r>
        <w:tab/>
        <w:t xml:space="preserve">May, Elaine Tyler. </w:t>
      </w:r>
      <w:r>
        <w:rPr>
          <w:i/>
        </w:rPr>
        <w:t>Homeward Bound: American Families in the Cold War Era</w:t>
      </w:r>
      <w:r>
        <w:t xml:space="preserve">. New York, </w:t>
      </w:r>
    </w:p>
    <w:p w:rsidR="00DE1B19" w:rsidRDefault="001804CE" w:rsidP="00DE1B19">
      <w:pPr>
        <w:ind w:left="1440" w:firstLine="720"/>
      </w:pPr>
      <w:r>
        <w:t xml:space="preserve">NY: Basic Books, 1999. Chapter 1, “Containment at Home: Cold War, Warm </w:t>
      </w:r>
    </w:p>
    <w:p w:rsidR="001804CE" w:rsidRDefault="001804CE" w:rsidP="00DE1B19">
      <w:pPr>
        <w:ind w:left="1440" w:firstLine="720"/>
      </w:pPr>
      <w:r>
        <w:t>Hearth,” pp. 10 – 29.</w:t>
      </w:r>
    </w:p>
    <w:p w:rsidR="00774C27" w:rsidRDefault="00774C27" w:rsidP="001804CE"/>
    <w:p w:rsidR="007F54CF" w:rsidRPr="00774C27" w:rsidRDefault="00DC26C2" w:rsidP="001804CE">
      <w:pPr>
        <w:rPr>
          <w:b/>
        </w:rPr>
      </w:pPr>
      <w:r w:rsidRPr="00774C27">
        <w:rPr>
          <w:b/>
        </w:rPr>
        <w:t>Week 5</w:t>
      </w:r>
      <w:r w:rsidR="002133ED" w:rsidRPr="00774C27">
        <w:rPr>
          <w:b/>
        </w:rPr>
        <w:tab/>
      </w:r>
      <w:r w:rsidR="002133ED" w:rsidRPr="00774C27">
        <w:rPr>
          <w:b/>
        </w:rPr>
        <w:tab/>
      </w:r>
      <w:r w:rsidR="00BB6C38" w:rsidRPr="00774C27">
        <w:rPr>
          <w:b/>
        </w:rPr>
        <w:t>American Religion</w:t>
      </w:r>
    </w:p>
    <w:p w:rsidR="00B23250" w:rsidRDefault="00BB6C38" w:rsidP="00B23250">
      <w:pPr>
        <w:ind w:left="1440"/>
      </w:pPr>
      <w:proofErr w:type="spellStart"/>
      <w:r>
        <w:t>Godbeer</w:t>
      </w:r>
      <w:proofErr w:type="spellEnd"/>
      <w:r>
        <w:t xml:space="preserve">, Richard. “Diabolical Witchcraft and Maleficent Witchcraft.” In </w:t>
      </w:r>
      <w:proofErr w:type="spellStart"/>
      <w:r>
        <w:t>Mappen</w:t>
      </w:r>
      <w:proofErr w:type="spellEnd"/>
      <w:r>
        <w:t xml:space="preserve">, pp. </w:t>
      </w:r>
    </w:p>
    <w:p w:rsidR="00BB6C38" w:rsidRDefault="00BB6C38" w:rsidP="00B23250">
      <w:pPr>
        <w:ind w:left="1440" w:firstLine="720"/>
      </w:pPr>
      <w:r>
        <w:t>127 – 137.</w:t>
      </w:r>
    </w:p>
    <w:p w:rsidR="00B23250" w:rsidRDefault="00BB6C38" w:rsidP="00BB6C38">
      <w:pPr>
        <w:ind w:left="1440"/>
      </w:pPr>
      <w:r>
        <w:t>Harley, David. “Explaining Salem: Calvinist Psychology and the Diagnoses of Posses</w:t>
      </w:r>
      <w:r w:rsidR="00AB6DDF">
        <w:t>s</w:t>
      </w:r>
      <w:r>
        <w:t xml:space="preserve">ion.” </w:t>
      </w:r>
    </w:p>
    <w:p w:rsidR="00BB6C38" w:rsidRDefault="00BB6C38" w:rsidP="00B23250">
      <w:pPr>
        <w:ind w:left="1440" w:firstLine="720"/>
      </w:pPr>
      <w:r>
        <w:rPr>
          <w:i/>
        </w:rPr>
        <w:t>The American Historical Review</w:t>
      </w:r>
      <w:r w:rsidR="007E668F">
        <w:t>.</w:t>
      </w:r>
      <w:r>
        <w:t xml:space="preserve"> Vol. 101, No. 2 (April 1996), 307 – 330.</w:t>
      </w:r>
    </w:p>
    <w:p w:rsidR="00B23250" w:rsidRDefault="00A77ACE" w:rsidP="00BB6C38">
      <w:pPr>
        <w:ind w:left="1440"/>
        <w:rPr>
          <w:i/>
        </w:rPr>
      </w:pPr>
      <w:r>
        <w:t xml:space="preserve">Dailey, Jane. “Sex, Segregation, and the Sacred after </w:t>
      </w:r>
      <w:r>
        <w:rPr>
          <w:i/>
        </w:rPr>
        <w:t>Brown</w:t>
      </w:r>
      <w:r>
        <w:t xml:space="preserve">.” </w:t>
      </w:r>
      <w:r>
        <w:rPr>
          <w:i/>
        </w:rPr>
        <w:t xml:space="preserve">Journal of American </w:t>
      </w:r>
    </w:p>
    <w:p w:rsidR="00BB6C38" w:rsidRPr="00A77ACE" w:rsidRDefault="00A77ACE" w:rsidP="00B23250">
      <w:pPr>
        <w:ind w:left="1440" w:firstLine="720"/>
      </w:pPr>
      <w:r>
        <w:rPr>
          <w:i/>
        </w:rPr>
        <w:t>History</w:t>
      </w:r>
      <w:r w:rsidR="007E668F">
        <w:t>.</w:t>
      </w:r>
      <w:r>
        <w:t xml:space="preserve"> Vol. 91 (June 2004), 119 – 144.</w:t>
      </w:r>
    </w:p>
    <w:p w:rsidR="00174266" w:rsidRPr="00174266" w:rsidRDefault="00174266" w:rsidP="00174266">
      <w:pPr>
        <w:ind w:left="720" w:firstLine="720"/>
      </w:pPr>
    </w:p>
    <w:p w:rsidR="002133ED" w:rsidRPr="00072B1C" w:rsidRDefault="00E51FF0" w:rsidP="00781528">
      <w:pPr>
        <w:rPr>
          <w:b/>
        </w:rPr>
      </w:pPr>
      <w:r>
        <w:rPr>
          <w:b/>
        </w:rPr>
        <w:t>We</w:t>
      </w:r>
      <w:r w:rsidR="00DC26C2" w:rsidRPr="00072B1C">
        <w:rPr>
          <w:b/>
        </w:rPr>
        <w:t>ek 6</w:t>
      </w:r>
      <w:r w:rsidR="008F0F68" w:rsidRPr="00072B1C">
        <w:rPr>
          <w:b/>
        </w:rPr>
        <w:tab/>
      </w:r>
      <w:r w:rsidR="008F0F68" w:rsidRPr="00072B1C">
        <w:rPr>
          <w:b/>
        </w:rPr>
        <w:tab/>
      </w:r>
      <w:r w:rsidR="002D5016">
        <w:rPr>
          <w:b/>
        </w:rPr>
        <w:t>Race,</w:t>
      </w:r>
      <w:r w:rsidR="003034D7">
        <w:rPr>
          <w:b/>
        </w:rPr>
        <w:t xml:space="preserve"> </w:t>
      </w:r>
      <w:proofErr w:type="spellStart"/>
      <w:r w:rsidR="003034D7">
        <w:rPr>
          <w:b/>
        </w:rPr>
        <w:t>Ethnoh</w:t>
      </w:r>
      <w:r w:rsidR="002F27BF">
        <w:rPr>
          <w:b/>
        </w:rPr>
        <w:t>istory</w:t>
      </w:r>
      <w:proofErr w:type="spellEnd"/>
      <w:r w:rsidR="002D5016">
        <w:rPr>
          <w:b/>
        </w:rPr>
        <w:t>, and Native American History</w:t>
      </w:r>
    </w:p>
    <w:p w:rsidR="00C55A55" w:rsidRDefault="00651116" w:rsidP="00781528">
      <w:r>
        <w:tab/>
      </w:r>
      <w:r>
        <w:tab/>
      </w:r>
      <w:r w:rsidR="00C55A55">
        <w:t xml:space="preserve">Tucker, </w:t>
      </w:r>
      <w:proofErr w:type="spellStart"/>
      <w:r w:rsidR="00C55A55">
        <w:t>Veta</w:t>
      </w:r>
      <w:proofErr w:type="spellEnd"/>
      <w:r w:rsidR="00C55A55">
        <w:t xml:space="preserve"> Smith. “Purloined Identity: The Racial Metamorphosis of Tituba of Salem </w:t>
      </w:r>
    </w:p>
    <w:p w:rsidR="002133ED" w:rsidRDefault="00C55A55" w:rsidP="003034D7">
      <w:pPr>
        <w:ind w:left="1440" w:firstLine="720"/>
      </w:pPr>
      <w:r>
        <w:lastRenderedPageBreak/>
        <w:t xml:space="preserve">Village.” </w:t>
      </w:r>
      <w:r>
        <w:rPr>
          <w:i/>
        </w:rPr>
        <w:t>Journal of Black Studies</w:t>
      </w:r>
      <w:r w:rsidR="007E668F">
        <w:t>.</w:t>
      </w:r>
      <w:r>
        <w:t xml:space="preserve"> Vol. 30, No. 4 (March 2000), 624 – 634.</w:t>
      </w:r>
    </w:p>
    <w:p w:rsidR="008A1185" w:rsidRDefault="008A1185" w:rsidP="00C55A55">
      <w:pPr>
        <w:ind w:left="720" w:firstLine="720"/>
      </w:pPr>
      <w:r>
        <w:t xml:space="preserve">Richter, Daniel K. </w:t>
      </w:r>
      <w:r>
        <w:rPr>
          <w:i/>
        </w:rPr>
        <w:t>Facing East from Indian Country: A Native History of Early America</w:t>
      </w:r>
      <w:r>
        <w:t xml:space="preserve">. </w:t>
      </w:r>
    </w:p>
    <w:p w:rsidR="00A161B7" w:rsidRPr="008A1185" w:rsidRDefault="008A1185" w:rsidP="003034D7">
      <w:pPr>
        <w:ind w:left="2160"/>
      </w:pPr>
      <w:r>
        <w:t xml:space="preserve">Cambridge, MA: Harvard University Press, 2001. </w:t>
      </w:r>
      <w:proofErr w:type="spellStart"/>
      <w:r>
        <w:t>Chatper</w:t>
      </w:r>
      <w:proofErr w:type="spellEnd"/>
      <w:r>
        <w:t xml:space="preserve"> 1, “Imagining a Distant New World,” pp. 11 – 40. </w:t>
      </w:r>
    </w:p>
    <w:p w:rsidR="00C55A55" w:rsidRDefault="00C55A55" w:rsidP="00C55A55">
      <w:pPr>
        <w:ind w:left="720" w:firstLine="720"/>
      </w:pPr>
    </w:p>
    <w:p w:rsidR="00143F59" w:rsidRPr="00047CDC" w:rsidRDefault="00143F59" w:rsidP="007269FC">
      <w:pPr>
        <w:ind w:left="1440"/>
      </w:pPr>
      <w:r>
        <w:rPr>
          <w:b/>
        </w:rPr>
        <w:t xml:space="preserve">Book review due in class. </w:t>
      </w:r>
      <w:r w:rsidR="00047CDC">
        <w:t>Bring an extra copy f</w:t>
      </w:r>
      <w:r w:rsidR="007269FC">
        <w:t>or a classmate to comment on it (by next class)</w:t>
      </w:r>
    </w:p>
    <w:p w:rsidR="00143F59" w:rsidRPr="00143F59" w:rsidRDefault="00143F59" w:rsidP="00C55A55">
      <w:pPr>
        <w:ind w:left="720" w:firstLine="720"/>
      </w:pPr>
    </w:p>
    <w:p w:rsidR="00224CFC" w:rsidRPr="00595C88" w:rsidRDefault="00DC26C2" w:rsidP="00224CFC">
      <w:pPr>
        <w:rPr>
          <w:b/>
        </w:rPr>
      </w:pPr>
      <w:r w:rsidRPr="00096BD6">
        <w:rPr>
          <w:b/>
        </w:rPr>
        <w:t>Week 7</w:t>
      </w:r>
      <w:r w:rsidR="002133ED" w:rsidRPr="00096BD6">
        <w:rPr>
          <w:b/>
        </w:rPr>
        <w:tab/>
      </w:r>
      <w:r w:rsidR="002133ED" w:rsidRPr="00096BD6">
        <w:rPr>
          <w:b/>
        </w:rPr>
        <w:tab/>
      </w:r>
      <w:r w:rsidR="00224CFC">
        <w:rPr>
          <w:b/>
        </w:rPr>
        <w:t>African-American History</w:t>
      </w:r>
    </w:p>
    <w:p w:rsidR="006C7FE3" w:rsidRDefault="00224CFC" w:rsidP="006C7FE3">
      <w:r>
        <w:tab/>
      </w:r>
      <w:r>
        <w:tab/>
      </w:r>
      <w:r w:rsidR="006C7FE3">
        <w:t xml:space="preserve">Miles, </w:t>
      </w:r>
      <w:proofErr w:type="spellStart"/>
      <w:r w:rsidR="006C7FE3">
        <w:t>Tiya</w:t>
      </w:r>
      <w:proofErr w:type="spellEnd"/>
      <w:r w:rsidR="006C7FE3">
        <w:t xml:space="preserve">. </w:t>
      </w:r>
      <w:r w:rsidR="006C7FE3">
        <w:rPr>
          <w:i/>
        </w:rPr>
        <w:t>Ties that Bind: The Story of an Afro-Cherokee Family in Slavery and Freedom</w:t>
      </w:r>
      <w:r w:rsidR="006C7FE3">
        <w:t xml:space="preserve">. </w:t>
      </w:r>
    </w:p>
    <w:p w:rsidR="006C7FE3" w:rsidRPr="00224CFC" w:rsidRDefault="006C7FE3" w:rsidP="006C7FE3">
      <w:pPr>
        <w:ind w:left="2160"/>
      </w:pPr>
      <w:r>
        <w:t xml:space="preserve">Oakland, CA: University of California Press, 2005. Chapter 3, “Motherhood,” 44 – 63. Available electronically through the </w:t>
      </w:r>
      <w:proofErr w:type="spellStart"/>
      <w:r>
        <w:t>Jinonice</w:t>
      </w:r>
      <w:proofErr w:type="spellEnd"/>
      <w:r>
        <w:t xml:space="preserve"> library.</w:t>
      </w:r>
    </w:p>
    <w:p w:rsidR="006C7FE3" w:rsidRDefault="006C7FE3" w:rsidP="006C7FE3">
      <w:pPr>
        <w:ind w:left="720" w:firstLine="720"/>
      </w:pPr>
      <w:r>
        <w:t xml:space="preserve">Harris, </w:t>
      </w:r>
      <w:proofErr w:type="spellStart"/>
      <w:r>
        <w:t>LaShawn</w:t>
      </w:r>
      <w:proofErr w:type="spellEnd"/>
      <w:r>
        <w:t xml:space="preserve">. “Playing the Numbers: Madame Stephanie St. Clair and African </w:t>
      </w:r>
    </w:p>
    <w:p w:rsidR="006C7FE3" w:rsidRDefault="006C7FE3" w:rsidP="006C7FE3">
      <w:pPr>
        <w:ind w:left="2160"/>
      </w:pPr>
      <w:r>
        <w:t xml:space="preserve">American Policy Culture in Harlem.” </w:t>
      </w:r>
      <w:r>
        <w:rPr>
          <w:i/>
        </w:rPr>
        <w:t>Black Women, Gender + Families</w:t>
      </w:r>
      <w:r>
        <w:t>, Vol. 2, No. 2 (Fall 2008), 53 – 76.</w:t>
      </w:r>
    </w:p>
    <w:p w:rsidR="006C7FE3" w:rsidRDefault="006C7FE3" w:rsidP="00781528">
      <w:pPr>
        <w:rPr>
          <w:i/>
        </w:rPr>
      </w:pPr>
      <w:r>
        <w:rPr>
          <w:b/>
        </w:rPr>
        <w:tab/>
      </w:r>
      <w:r>
        <w:rPr>
          <w:b/>
        </w:rPr>
        <w:tab/>
      </w:r>
      <w:r>
        <w:t xml:space="preserve">Payne, Charles. </w:t>
      </w:r>
      <w:r>
        <w:rPr>
          <w:i/>
        </w:rPr>
        <w:t xml:space="preserve">I’ve Got the Light of Freedom: the Organizing Tradition and the </w:t>
      </w:r>
    </w:p>
    <w:p w:rsidR="00224CFC" w:rsidRDefault="006C7FE3" w:rsidP="006C7FE3">
      <w:pPr>
        <w:ind w:left="2160"/>
      </w:pPr>
      <w:r>
        <w:rPr>
          <w:i/>
        </w:rPr>
        <w:t xml:space="preserve">Mississippi Freedom </w:t>
      </w:r>
      <w:proofErr w:type="spellStart"/>
      <w:r>
        <w:rPr>
          <w:i/>
        </w:rPr>
        <w:t>Strugggle</w:t>
      </w:r>
      <w:proofErr w:type="spellEnd"/>
      <w:r>
        <w:t>. Berkley, CA: University of California Press, 1995. Chapter 2, “Testing the Limits: Black Activism in Postwar Mississippi,” 29 – 66.</w:t>
      </w:r>
      <w:r w:rsidR="0062361C">
        <w:t xml:space="preserve"> Available electronically thought the </w:t>
      </w:r>
      <w:proofErr w:type="spellStart"/>
      <w:r w:rsidR="0062361C">
        <w:t>Jinonice</w:t>
      </w:r>
      <w:proofErr w:type="spellEnd"/>
      <w:r w:rsidR="0062361C">
        <w:t xml:space="preserve"> library.</w:t>
      </w:r>
    </w:p>
    <w:p w:rsidR="006C7FE3" w:rsidRDefault="006C7FE3" w:rsidP="006C7FE3">
      <w:pPr>
        <w:rPr>
          <w:i/>
        </w:rPr>
      </w:pPr>
    </w:p>
    <w:p w:rsidR="006C7FE3" w:rsidRDefault="006C7FE3" w:rsidP="000F6975">
      <w:pPr>
        <w:ind w:left="1440"/>
      </w:pPr>
      <w:r>
        <w:t xml:space="preserve">** Read the article and one of the </w:t>
      </w:r>
      <w:r w:rsidR="000F6975">
        <w:t xml:space="preserve">book </w:t>
      </w:r>
      <w:r>
        <w:t>chapters. Those presenting have to read everything.</w:t>
      </w:r>
    </w:p>
    <w:p w:rsidR="00047CDC" w:rsidRDefault="00047CDC" w:rsidP="000F6975">
      <w:pPr>
        <w:ind w:left="1440"/>
      </w:pPr>
    </w:p>
    <w:p w:rsidR="00047CDC" w:rsidRPr="006C7FE3" w:rsidRDefault="00047CDC" w:rsidP="000F6975">
      <w:pPr>
        <w:ind w:left="1440"/>
      </w:pPr>
      <w:r>
        <w:t>Bring your comments on your classmate’s book review back for them.</w:t>
      </w:r>
    </w:p>
    <w:p w:rsidR="00174266" w:rsidRDefault="00174266" w:rsidP="00781528"/>
    <w:p w:rsidR="002133ED" w:rsidRPr="00C8707F" w:rsidRDefault="00DC26C2" w:rsidP="00781528">
      <w:pPr>
        <w:rPr>
          <w:b/>
        </w:rPr>
      </w:pPr>
      <w:r w:rsidRPr="00C8707F">
        <w:rPr>
          <w:b/>
        </w:rPr>
        <w:t>Week 8</w:t>
      </w:r>
      <w:r w:rsidRPr="00C8707F">
        <w:rPr>
          <w:b/>
        </w:rPr>
        <w:tab/>
      </w:r>
      <w:r w:rsidR="002133ED" w:rsidRPr="00C8707F">
        <w:rPr>
          <w:b/>
        </w:rPr>
        <w:tab/>
        <w:t>B</w:t>
      </w:r>
      <w:r w:rsidR="008F0F68" w:rsidRPr="00C8707F">
        <w:rPr>
          <w:b/>
        </w:rPr>
        <w:t>iology and Environmental Studies</w:t>
      </w:r>
    </w:p>
    <w:p w:rsidR="00202788" w:rsidRDefault="00202788" w:rsidP="00781528">
      <w:r>
        <w:tab/>
      </w:r>
      <w:r>
        <w:tab/>
      </w:r>
      <w:proofErr w:type="spellStart"/>
      <w:r>
        <w:t>Caporael</w:t>
      </w:r>
      <w:proofErr w:type="spellEnd"/>
      <w:r>
        <w:t xml:space="preserve">, </w:t>
      </w:r>
      <w:proofErr w:type="spellStart"/>
      <w:r>
        <w:t>Linnda</w:t>
      </w:r>
      <w:proofErr w:type="spellEnd"/>
      <w:r>
        <w:t xml:space="preserve"> R. “A Biologist Diagnoses Disease.” In </w:t>
      </w:r>
      <w:proofErr w:type="spellStart"/>
      <w:r>
        <w:t>Mappen</w:t>
      </w:r>
      <w:proofErr w:type="spellEnd"/>
      <w:r>
        <w:t>, 63 – 71</w:t>
      </w:r>
    </w:p>
    <w:p w:rsidR="00202788" w:rsidRDefault="00202788" w:rsidP="00781528">
      <w:r>
        <w:tab/>
      </w:r>
      <w:r>
        <w:tab/>
      </w:r>
      <w:proofErr w:type="spellStart"/>
      <w:r>
        <w:t>Spanos</w:t>
      </w:r>
      <w:proofErr w:type="spellEnd"/>
      <w:r>
        <w:t xml:space="preserve">, Nicholas P. and Jack Gottlieb. “The Disease Diagnosis Disputed.” In </w:t>
      </w:r>
      <w:proofErr w:type="spellStart"/>
      <w:r>
        <w:t>Mappen</w:t>
      </w:r>
      <w:proofErr w:type="spellEnd"/>
      <w:r>
        <w:t xml:space="preserve">, 72 </w:t>
      </w:r>
    </w:p>
    <w:p w:rsidR="00202788" w:rsidRDefault="00202788" w:rsidP="00B604FC">
      <w:pPr>
        <w:ind w:left="1440" w:firstLine="720"/>
      </w:pPr>
      <w:r>
        <w:t>– 82.</w:t>
      </w:r>
    </w:p>
    <w:p w:rsidR="005328BD" w:rsidRDefault="005328BD" w:rsidP="00202788">
      <w:pPr>
        <w:ind w:left="720" w:firstLine="720"/>
        <w:rPr>
          <w:i/>
        </w:rPr>
      </w:pPr>
      <w:proofErr w:type="spellStart"/>
      <w:r>
        <w:t>Alchon</w:t>
      </w:r>
      <w:proofErr w:type="spellEnd"/>
      <w:r>
        <w:t xml:space="preserve">, Suzanne Austin. </w:t>
      </w:r>
      <w:r>
        <w:rPr>
          <w:i/>
        </w:rPr>
        <w:t xml:space="preserve">A Pest in the Land: New World Epidemics in a Global </w:t>
      </w:r>
    </w:p>
    <w:p w:rsidR="00202788" w:rsidRPr="005328BD" w:rsidRDefault="005328BD" w:rsidP="00B604FC">
      <w:pPr>
        <w:ind w:left="2160"/>
      </w:pPr>
      <w:r>
        <w:rPr>
          <w:i/>
        </w:rPr>
        <w:t>Perspective</w:t>
      </w:r>
      <w:r>
        <w:t>. Albuquerque, NM: University of New Mexico Press, 2003. Chapter 4, pp. 83 – 108.</w:t>
      </w:r>
    </w:p>
    <w:p w:rsidR="002133ED" w:rsidRPr="00203167" w:rsidRDefault="00203167" w:rsidP="00781528">
      <w:pPr>
        <w:rPr>
          <w:b/>
        </w:rPr>
      </w:pPr>
      <w:r>
        <w:tab/>
      </w:r>
      <w:r>
        <w:tab/>
      </w:r>
    </w:p>
    <w:p w:rsidR="001E295E" w:rsidRPr="00096BD6" w:rsidRDefault="00DC26C2" w:rsidP="001E295E">
      <w:pPr>
        <w:rPr>
          <w:b/>
        </w:rPr>
      </w:pPr>
      <w:r w:rsidRPr="001E295E">
        <w:rPr>
          <w:b/>
        </w:rPr>
        <w:t>Week 9</w:t>
      </w:r>
      <w:r w:rsidR="002133ED" w:rsidRPr="001E295E">
        <w:rPr>
          <w:b/>
        </w:rPr>
        <w:tab/>
      </w:r>
      <w:r w:rsidR="002133ED">
        <w:tab/>
      </w:r>
      <w:r w:rsidR="001E295E" w:rsidRPr="00096BD6">
        <w:rPr>
          <w:b/>
        </w:rPr>
        <w:t>Psychohistory and Psychoanalysis</w:t>
      </w:r>
    </w:p>
    <w:p w:rsidR="001E295E" w:rsidRDefault="001E295E" w:rsidP="007F4689">
      <w:r>
        <w:tab/>
      </w:r>
      <w:r>
        <w:tab/>
        <w:t xml:space="preserve">Caulfield, Ernest. “A Physician Diagnoses Hysteria.” In </w:t>
      </w:r>
      <w:proofErr w:type="spellStart"/>
      <w:r>
        <w:t>Mappen</w:t>
      </w:r>
      <w:proofErr w:type="spellEnd"/>
      <w:r>
        <w:t>, pp. 51 – 62.</w:t>
      </w:r>
    </w:p>
    <w:p w:rsidR="001E295E" w:rsidRDefault="001E295E" w:rsidP="001E295E">
      <w:r>
        <w:tab/>
      </w:r>
      <w:r>
        <w:tab/>
        <w:t xml:space="preserve">Demos, John. “Underlying Themes in the Witchcraft of Seventeenth-Century New </w:t>
      </w:r>
    </w:p>
    <w:p w:rsidR="001E295E" w:rsidRPr="007E668F" w:rsidRDefault="001E295E" w:rsidP="001E295E">
      <w:pPr>
        <w:ind w:left="2160"/>
      </w:pPr>
      <w:r>
        <w:t xml:space="preserve">England.” </w:t>
      </w:r>
      <w:r>
        <w:rPr>
          <w:i/>
        </w:rPr>
        <w:t>The American Historical Review</w:t>
      </w:r>
      <w:r>
        <w:t>. Vol. 75, No. 5 (June 1970), 1311 – 1326.</w:t>
      </w:r>
    </w:p>
    <w:p w:rsidR="001E295E" w:rsidRDefault="001E295E" w:rsidP="001E295E">
      <w:r>
        <w:tab/>
      </w:r>
      <w:r>
        <w:tab/>
        <w:t xml:space="preserve">Interview: Mary Beth Norton discusses the Salem witch trials. Source: NPR Weekend </w:t>
      </w:r>
    </w:p>
    <w:p w:rsidR="001E295E" w:rsidRDefault="001E295E" w:rsidP="001E295E">
      <w:pPr>
        <w:ind w:left="2160"/>
      </w:pPr>
      <w:r>
        <w:t xml:space="preserve">Edition, October 27, 2002. Transcript: </w:t>
      </w:r>
      <w:hyperlink r:id="rId6" w:history="1">
        <w:r>
          <w:rPr>
            <w:rStyle w:val="Hyperlink"/>
            <w:rFonts w:ascii="Arial" w:hAnsi="Arial" w:cs="Arial"/>
            <w:sz w:val="20"/>
            <w:szCs w:val="20"/>
            <w:shd w:val="clear" w:color="auto" w:fill="F5F5F5"/>
          </w:rPr>
          <w:t>https://teacherweb.com/CA/LodiHighSchool/MrsRose/Interviewmaryhortonsalem.doc</w:t>
        </w:r>
      </w:hyperlink>
      <w:r>
        <w:rPr>
          <w:rFonts w:ascii="Arial" w:hAnsi="Arial" w:cs="Arial"/>
          <w:color w:val="202020"/>
          <w:sz w:val="20"/>
          <w:szCs w:val="20"/>
          <w:shd w:val="clear" w:color="auto" w:fill="F5F5F5"/>
        </w:rPr>
        <w:t>.</w:t>
      </w:r>
    </w:p>
    <w:p w:rsidR="00203167" w:rsidRDefault="00203167" w:rsidP="00781528"/>
    <w:p w:rsidR="00AC4E0D" w:rsidRDefault="00AC4E0D" w:rsidP="00AC4E0D">
      <w:pPr>
        <w:ind w:left="1440"/>
      </w:pPr>
      <w:r>
        <w:t xml:space="preserve">Email a </w:t>
      </w:r>
      <w:r w:rsidRPr="00AC4E0D">
        <w:rPr>
          <w:b/>
        </w:rPr>
        <w:t>draft of your paper</w:t>
      </w:r>
      <w:r>
        <w:t xml:space="preserve"> to your review partner </w:t>
      </w:r>
      <w:r w:rsidRPr="00AC4E0D">
        <w:rPr>
          <w:b/>
        </w:rPr>
        <w:t>by 8 pm</w:t>
      </w:r>
      <w:r>
        <w:t>, so they have time to read and comment on it before the next class.</w:t>
      </w:r>
      <w:r w:rsidR="00047CDC">
        <w:t xml:space="preserve"> </w:t>
      </w:r>
    </w:p>
    <w:p w:rsidR="00AC4E0D" w:rsidRPr="00203167" w:rsidRDefault="00AC4E0D" w:rsidP="00781528"/>
    <w:p w:rsidR="008F0F68" w:rsidRPr="00E67DE8" w:rsidRDefault="008F0F68" w:rsidP="00781528">
      <w:pPr>
        <w:rPr>
          <w:b/>
        </w:rPr>
      </w:pPr>
      <w:r w:rsidRPr="00E67DE8">
        <w:rPr>
          <w:b/>
        </w:rPr>
        <w:t xml:space="preserve">Week </w:t>
      </w:r>
      <w:r w:rsidR="00DC26C2" w:rsidRPr="00E67DE8">
        <w:rPr>
          <w:b/>
        </w:rPr>
        <w:t>10</w:t>
      </w:r>
      <w:r w:rsidR="00072B1C" w:rsidRPr="00E67DE8">
        <w:rPr>
          <w:b/>
        </w:rPr>
        <w:tab/>
        <w:t xml:space="preserve">Political </w:t>
      </w:r>
      <w:r w:rsidR="00F142D2" w:rsidRPr="00E67DE8">
        <w:rPr>
          <w:b/>
        </w:rPr>
        <w:t xml:space="preserve">and Diplomatic </w:t>
      </w:r>
      <w:r w:rsidR="00072B1C" w:rsidRPr="00E67DE8">
        <w:rPr>
          <w:b/>
        </w:rPr>
        <w:t>History</w:t>
      </w:r>
    </w:p>
    <w:p w:rsidR="00924BA3" w:rsidRDefault="007F4689" w:rsidP="00781528">
      <w:r>
        <w:tab/>
      </w:r>
      <w:r>
        <w:tab/>
      </w:r>
      <w:r w:rsidR="00924BA3">
        <w:t>Bennet</w:t>
      </w:r>
      <w:r w:rsidR="00403B57">
        <w:t>t</w:t>
      </w:r>
      <w:r w:rsidR="00924BA3">
        <w:t xml:space="preserve">, M. Todd. ”The Spirit of ’76: Diplomacy Commemorating the U.S. Bicentennial in </w:t>
      </w:r>
    </w:p>
    <w:p w:rsidR="00924BA3" w:rsidRDefault="00924BA3" w:rsidP="00924BA3">
      <w:pPr>
        <w:ind w:left="1440" w:firstLine="720"/>
      </w:pPr>
      <w:r>
        <w:lastRenderedPageBreak/>
        <w:t xml:space="preserve">1976.” </w:t>
      </w:r>
      <w:r>
        <w:rPr>
          <w:i/>
        </w:rPr>
        <w:t>Diplomatic History</w:t>
      </w:r>
      <w:r>
        <w:t>, Vol. 40, No. 4 (September 2016), 695 – 721.</w:t>
      </w:r>
      <w:r w:rsidR="007F4689">
        <w:tab/>
      </w:r>
    </w:p>
    <w:p w:rsidR="00F818DB" w:rsidRDefault="00F818DB" w:rsidP="00F818DB">
      <w:pPr>
        <w:ind w:left="1440"/>
      </w:pPr>
      <w:proofErr w:type="spellStart"/>
      <w:r>
        <w:t>Dudziak</w:t>
      </w:r>
      <w:proofErr w:type="spellEnd"/>
      <w:r>
        <w:t xml:space="preserve">, Mary L. </w:t>
      </w:r>
      <w:r>
        <w:rPr>
          <w:i/>
        </w:rPr>
        <w:t>Cold War Civil Rights: Race and the Image of American Democracy</w:t>
      </w:r>
      <w:r>
        <w:t xml:space="preserve">. </w:t>
      </w:r>
    </w:p>
    <w:p w:rsidR="00F818DB" w:rsidRDefault="00F818DB" w:rsidP="00F818DB">
      <w:pPr>
        <w:ind w:left="2160"/>
      </w:pPr>
      <w:r>
        <w:t>Princeton, NJ: Princeton University Press, 2000. Chapter 2, “Telling Storie</w:t>
      </w:r>
      <w:r>
        <w:t>s about Race and Democracy,”</w:t>
      </w:r>
      <w:r>
        <w:t xml:space="preserve"> 47 – 78.</w:t>
      </w:r>
    </w:p>
    <w:p w:rsidR="008F0F68" w:rsidRDefault="008F0F68" w:rsidP="00924BA3">
      <w:bookmarkStart w:id="0" w:name="_GoBack"/>
      <w:bookmarkEnd w:id="0"/>
    </w:p>
    <w:p w:rsidR="00422180" w:rsidRDefault="00422180" w:rsidP="00924BA3">
      <w:r>
        <w:tab/>
      </w:r>
      <w:r>
        <w:tab/>
        <w:t>Bring or email your comments on your classmate’s draft back to them.</w:t>
      </w:r>
    </w:p>
    <w:p w:rsidR="00422180" w:rsidRDefault="00422180" w:rsidP="00924BA3"/>
    <w:p w:rsidR="008F0F68" w:rsidRPr="00E67DE8" w:rsidRDefault="00DC26C2" w:rsidP="00781528">
      <w:pPr>
        <w:rPr>
          <w:b/>
        </w:rPr>
      </w:pPr>
      <w:r w:rsidRPr="00E67DE8">
        <w:rPr>
          <w:b/>
        </w:rPr>
        <w:t>Week 11</w:t>
      </w:r>
      <w:r w:rsidR="008F0F68" w:rsidRPr="00E67DE8">
        <w:rPr>
          <w:b/>
        </w:rPr>
        <w:tab/>
      </w:r>
      <w:r w:rsidR="00595C88" w:rsidRPr="00E67DE8">
        <w:rPr>
          <w:b/>
        </w:rPr>
        <w:t>Labor History and History of American Capitalism</w:t>
      </w:r>
    </w:p>
    <w:p w:rsidR="001F5135" w:rsidRDefault="001F5135" w:rsidP="00781528">
      <w:pPr>
        <w:rPr>
          <w:i/>
        </w:rPr>
      </w:pPr>
      <w:r>
        <w:tab/>
      </w:r>
      <w:r>
        <w:tab/>
      </w:r>
      <w:proofErr w:type="spellStart"/>
      <w:r>
        <w:t>Enstad</w:t>
      </w:r>
      <w:proofErr w:type="spellEnd"/>
      <w:r>
        <w:t xml:space="preserve">, Nan. </w:t>
      </w:r>
      <w:r>
        <w:rPr>
          <w:i/>
        </w:rPr>
        <w:t xml:space="preserve">Ladies of Labor, Girls of Adventure: Working Women, Popular Culture, and </w:t>
      </w:r>
    </w:p>
    <w:p w:rsidR="008F0F68" w:rsidRDefault="001F5135" w:rsidP="001F5135">
      <w:pPr>
        <w:ind w:left="2160"/>
      </w:pPr>
      <w:r>
        <w:rPr>
          <w:i/>
        </w:rPr>
        <w:t>Labor Politics at the Turn of the Twentieth Century</w:t>
      </w:r>
      <w:r>
        <w:t>. New York, NY: Columbia University Press, 1999. Chapter 3, "Fashioning Political Subjectivities: The 1909 Shirtwaist Strike and the ‘Rational Girl Striker,” 84 – 118.</w:t>
      </w:r>
    </w:p>
    <w:p w:rsidR="00DD70FD" w:rsidRDefault="00B71CA5" w:rsidP="00781528">
      <w:r>
        <w:tab/>
      </w:r>
      <w:r>
        <w:tab/>
      </w:r>
      <w:proofErr w:type="spellStart"/>
      <w:r>
        <w:t>Ott</w:t>
      </w:r>
      <w:proofErr w:type="spellEnd"/>
      <w:r>
        <w:t xml:space="preserve">, Julia Cathleen. “When Wall Street Met Main Street: The Quest for Investor’s </w:t>
      </w:r>
    </w:p>
    <w:p w:rsidR="001F5135" w:rsidRDefault="00B71CA5" w:rsidP="00DD70FD">
      <w:pPr>
        <w:ind w:left="2160"/>
      </w:pPr>
      <w:r>
        <w:t xml:space="preserve">Democracy and the Emergence of the Retail Investor in the United States, 1890 – 1930.” </w:t>
      </w:r>
      <w:r>
        <w:rPr>
          <w:i/>
        </w:rPr>
        <w:t>Enterprise and Society</w:t>
      </w:r>
      <w:r>
        <w:t>, Vol. 9. No. 4 (December 2008), 619 – 630.</w:t>
      </w:r>
    </w:p>
    <w:p w:rsidR="00B71CA5" w:rsidRPr="00B71CA5" w:rsidRDefault="00B71CA5" w:rsidP="00781528"/>
    <w:p w:rsidR="008F0F68" w:rsidRPr="00C028D5" w:rsidRDefault="00DC26C2" w:rsidP="00781528">
      <w:pPr>
        <w:rPr>
          <w:b/>
        </w:rPr>
      </w:pPr>
      <w:r w:rsidRPr="00C028D5">
        <w:rPr>
          <w:b/>
        </w:rPr>
        <w:t>Week 12</w:t>
      </w:r>
      <w:r w:rsidR="008F0F68" w:rsidRPr="00C028D5">
        <w:rPr>
          <w:b/>
        </w:rPr>
        <w:tab/>
      </w:r>
      <w:r w:rsidR="005973DB" w:rsidRPr="00C028D5">
        <w:rPr>
          <w:b/>
        </w:rPr>
        <w:t>Oral History,</w:t>
      </w:r>
      <w:r w:rsidR="000A5FE9" w:rsidRPr="00C028D5">
        <w:rPr>
          <w:b/>
        </w:rPr>
        <w:t xml:space="preserve"> Public History, </w:t>
      </w:r>
      <w:r w:rsidR="008F0F68" w:rsidRPr="00C028D5">
        <w:rPr>
          <w:b/>
        </w:rPr>
        <w:t>Digital Humanities</w:t>
      </w:r>
    </w:p>
    <w:p w:rsidR="005B594E" w:rsidRPr="00D03BD4" w:rsidRDefault="005B594E" w:rsidP="00781528">
      <w:r>
        <w:tab/>
      </w:r>
      <w:r>
        <w:tab/>
      </w:r>
      <w:r w:rsidR="00736A34">
        <w:t>TBA</w:t>
      </w:r>
    </w:p>
    <w:sectPr w:rsidR="005B594E" w:rsidRPr="00D0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28"/>
    <w:rsid w:val="00002F65"/>
    <w:rsid w:val="00047CDC"/>
    <w:rsid w:val="00072B1C"/>
    <w:rsid w:val="00085DF9"/>
    <w:rsid w:val="00096BD6"/>
    <w:rsid w:val="000A5FE9"/>
    <w:rsid w:val="000D15C7"/>
    <w:rsid w:val="000F6975"/>
    <w:rsid w:val="00100FBD"/>
    <w:rsid w:val="00143F59"/>
    <w:rsid w:val="00174266"/>
    <w:rsid w:val="00175869"/>
    <w:rsid w:val="001804CE"/>
    <w:rsid w:val="001A0E9A"/>
    <w:rsid w:val="001D7F81"/>
    <w:rsid w:val="001E295E"/>
    <w:rsid w:val="001F5135"/>
    <w:rsid w:val="00202788"/>
    <w:rsid w:val="0020314F"/>
    <w:rsid w:val="00203167"/>
    <w:rsid w:val="00205330"/>
    <w:rsid w:val="002133ED"/>
    <w:rsid w:val="00224CFC"/>
    <w:rsid w:val="00276103"/>
    <w:rsid w:val="00291303"/>
    <w:rsid w:val="002B2E5F"/>
    <w:rsid w:val="002C46A3"/>
    <w:rsid w:val="002D5016"/>
    <w:rsid w:val="002D69D7"/>
    <w:rsid w:val="002E7E2F"/>
    <w:rsid w:val="002F27BF"/>
    <w:rsid w:val="00301F79"/>
    <w:rsid w:val="003026CF"/>
    <w:rsid w:val="003034D7"/>
    <w:rsid w:val="003073C7"/>
    <w:rsid w:val="0036792B"/>
    <w:rsid w:val="003A5D01"/>
    <w:rsid w:val="003B1A7F"/>
    <w:rsid w:val="003B7319"/>
    <w:rsid w:val="00403B57"/>
    <w:rsid w:val="00422180"/>
    <w:rsid w:val="00460031"/>
    <w:rsid w:val="0047562B"/>
    <w:rsid w:val="004A05F5"/>
    <w:rsid w:val="004A3207"/>
    <w:rsid w:val="004A422D"/>
    <w:rsid w:val="004B1C16"/>
    <w:rsid w:val="004C6FE3"/>
    <w:rsid w:val="004D6559"/>
    <w:rsid w:val="005328BD"/>
    <w:rsid w:val="0054767F"/>
    <w:rsid w:val="00557F4F"/>
    <w:rsid w:val="00584E8E"/>
    <w:rsid w:val="00595C88"/>
    <w:rsid w:val="005973DB"/>
    <w:rsid w:val="005A73E0"/>
    <w:rsid w:val="005B00EC"/>
    <w:rsid w:val="005B594E"/>
    <w:rsid w:val="005D21ED"/>
    <w:rsid w:val="005D4458"/>
    <w:rsid w:val="005D787C"/>
    <w:rsid w:val="0062361C"/>
    <w:rsid w:val="00651116"/>
    <w:rsid w:val="00686DF3"/>
    <w:rsid w:val="006C202E"/>
    <w:rsid w:val="006C7FE3"/>
    <w:rsid w:val="006D6F4A"/>
    <w:rsid w:val="006D7787"/>
    <w:rsid w:val="006E2ABB"/>
    <w:rsid w:val="006E58CA"/>
    <w:rsid w:val="0071600A"/>
    <w:rsid w:val="00716C4E"/>
    <w:rsid w:val="007269FC"/>
    <w:rsid w:val="00731DDE"/>
    <w:rsid w:val="00736A34"/>
    <w:rsid w:val="00774C27"/>
    <w:rsid w:val="00781528"/>
    <w:rsid w:val="007C1795"/>
    <w:rsid w:val="007D2DB5"/>
    <w:rsid w:val="007E668F"/>
    <w:rsid w:val="007F3F8B"/>
    <w:rsid w:val="007F4689"/>
    <w:rsid w:val="007F54CF"/>
    <w:rsid w:val="00811B0F"/>
    <w:rsid w:val="008176BD"/>
    <w:rsid w:val="00835BA3"/>
    <w:rsid w:val="00862767"/>
    <w:rsid w:val="008A1185"/>
    <w:rsid w:val="008B7046"/>
    <w:rsid w:val="008C36D4"/>
    <w:rsid w:val="008F0F68"/>
    <w:rsid w:val="00924BA3"/>
    <w:rsid w:val="00926244"/>
    <w:rsid w:val="00942451"/>
    <w:rsid w:val="0095441F"/>
    <w:rsid w:val="009860D1"/>
    <w:rsid w:val="0099590E"/>
    <w:rsid w:val="009B2337"/>
    <w:rsid w:val="009E59FD"/>
    <w:rsid w:val="00A161B7"/>
    <w:rsid w:val="00A26F7F"/>
    <w:rsid w:val="00A5138A"/>
    <w:rsid w:val="00A77ACE"/>
    <w:rsid w:val="00AB6DDF"/>
    <w:rsid w:val="00AC4E0D"/>
    <w:rsid w:val="00AC5342"/>
    <w:rsid w:val="00B226A9"/>
    <w:rsid w:val="00B23250"/>
    <w:rsid w:val="00B24A4B"/>
    <w:rsid w:val="00B25495"/>
    <w:rsid w:val="00B40A42"/>
    <w:rsid w:val="00B604FC"/>
    <w:rsid w:val="00B71CA5"/>
    <w:rsid w:val="00BB6C38"/>
    <w:rsid w:val="00BF37B3"/>
    <w:rsid w:val="00BF504C"/>
    <w:rsid w:val="00C01E31"/>
    <w:rsid w:val="00C028D5"/>
    <w:rsid w:val="00C10188"/>
    <w:rsid w:val="00C11D16"/>
    <w:rsid w:val="00C23A99"/>
    <w:rsid w:val="00C301F2"/>
    <w:rsid w:val="00C55A55"/>
    <w:rsid w:val="00C63957"/>
    <w:rsid w:val="00C8707F"/>
    <w:rsid w:val="00CD2A69"/>
    <w:rsid w:val="00CE07A1"/>
    <w:rsid w:val="00D03BD4"/>
    <w:rsid w:val="00D21BD2"/>
    <w:rsid w:val="00D26FB2"/>
    <w:rsid w:val="00D77590"/>
    <w:rsid w:val="00D96355"/>
    <w:rsid w:val="00DC26C2"/>
    <w:rsid w:val="00DD70FD"/>
    <w:rsid w:val="00DE1B19"/>
    <w:rsid w:val="00DF7462"/>
    <w:rsid w:val="00E30DE1"/>
    <w:rsid w:val="00E51FF0"/>
    <w:rsid w:val="00E67DE8"/>
    <w:rsid w:val="00E87294"/>
    <w:rsid w:val="00E9138B"/>
    <w:rsid w:val="00EA403A"/>
    <w:rsid w:val="00EC350C"/>
    <w:rsid w:val="00ED050A"/>
    <w:rsid w:val="00F047A0"/>
    <w:rsid w:val="00F142D2"/>
    <w:rsid w:val="00F2059E"/>
    <w:rsid w:val="00F26C0C"/>
    <w:rsid w:val="00F36FDB"/>
    <w:rsid w:val="00F41C94"/>
    <w:rsid w:val="00F53B87"/>
    <w:rsid w:val="00F818DB"/>
    <w:rsid w:val="00FA7FD9"/>
    <w:rsid w:val="00FD480C"/>
    <w:rsid w:val="00FE7580"/>
    <w:rsid w:val="00FF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58027-400D-4DB9-B47F-FE68F9C4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eacherweb.com/CA/LodiHighSchool/MrsRose/Interviewmaryhortonsalem.doc" TargetMode="External"/><Relationship Id="rId5" Type="http://schemas.openxmlformats.org/officeDocument/2006/relationships/hyperlink" Target="mailto:lucie.kyrova@fsv.cuni.cz"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1533</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185</cp:revision>
  <dcterms:created xsi:type="dcterms:W3CDTF">2016-09-24T19:49:00Z</dcterms:created>
  <dcterms:modified xsi:type="dcterms:W3CDTF">2016-09-30T16:33:00Z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