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OTÁZKY K SZZK NVDD -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Hygiena a epidemiologie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Nutriční epidemiologie – náplň oboru, typy studií, jejich hodnocení, hlavní přednosti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a nedostatky.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2. Proces šíření nákaz.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3. Proces šíření alimentárních nákaz.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4. Epidemiologie alimentárních nákaz v ČR.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5. Protiepidemická opatření u alimentárních nákaz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6. Dezinfekce ve stravovacích provozech.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7. Hygienické požadavky na stravovací služby.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8. Primární, sekundární a terciární prevence a úloha výživy.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9. Výživová doporučení pro populaci dle věkových skupin.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10. Hodnocení výživového stavu.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11. Poruchy z nedostatku nebo nadbytku specifických živin (projevy, příčiny, prevence).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12. Druhy potravin a jejich význam ve výživě člověka.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13. Hlavní živiny: zdroje, význam, nadbytek, deficit.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14. Vitamíny: zdroje, význam, nadbytek, deficit.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15. Minerální látky: zdroje, význam, nadbytek, deficit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16. Stopové prvky: zdroje, význam, nadbytek, deficit.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17. Význam mikroorganismů v potravě.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18. Nutriční toxikologie – zaměření oboru, terminologie, význam.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19. Toxické látky v potravinách, limity – kategorie dle rizika, prevence otrav z potravin.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20. Kontaminanty potravin, vstupní cesty do potravního řetězce, prevence.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21. Bezpečnost potravin – dozorové orgány, kompetence v ČR, v EU, systém rychlého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varování.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22. Potravní aditiva – charakterizace, důvody použití, značení, legislativa.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23. Endogenní toxické produkty potravin – vznik, nebezpečnost, možnosti snížení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negativního účinku.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24. Nutriční profil kuřáka. Kouření a hmotnost.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25. Výživa v (primární) prevenci kardiovaskulárních onemocnění.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26. Výživa v (primární) prevenci nádorových onemocnění.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27. Požadavky na kvalitu pitné vody, limity, rizika.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28. Pitný režim, balená voda, ochranné nápoje.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29. Organizace, programy, iniciativy a projekty na podporu správné výživy.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30. Hlavní právní normy týkající se potravin a stravování a typy referenčních norem pro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příjem živin – principy, problémy.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