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0A" w:rsidRPr="004C1BA3" w:rsidRDefault="004C1BA3" w:rsidP="004C1BA3">
      <w:pPr>
        <w:jc w:val="center"/>
        <w:rPr>
          <w:b/>
        </w:rPr>
      </w:pPr>
      <w:r w:rsidRPr="004C1BA3">
        <w:rPr>
          <w:b/>
        </w:rPr>
        <w:t>Summaries signup sheet</w:t>
      </w:r>
    </w:p>
    <w:p w:rsidR="004C1BA3" w:rsidRDefault="004C1BA3" w:rsidP="004C1BA3"/>
    <w:p w:rsidR="004C1BA3" w:rsidRPr="004C1BA3" w:rsidRDefault="004C1BA3" w:rsidP="004C1BA3">
      <w:pPr>
        <w:rPr>
          <w:b/>
        </w:rPr>
      </w:pPr>
      <w:r w:rsidRPr="004C1BA3">
        <w:rPr>
          <w:b/>
        </w:rPr>
        <w:t>Articles</w:t>
      </w:r>
    </w:p>
    <w:p w:rsidR="004C1BA3" w:rsidRDefault="004C1BA3" w:rsidP="004C1BA3">
      <w:r>
        <w:t xml:space="preserve">Dayton, Cornelia Hughes. “Taking the Trade: Abortion and Gender Relations in an Eighteenth-Century New England Village.” </w:t>
      </w:r>
      <w:r>
        <w:rPr>
          <w:i/>
        </w:rPr>
        <w:t>William and Mary Quarterly</w:t>
      </w:r>
      <w:r>
        <w:t>, Vol. 48, No. 1 (January 1991), 19 – 23.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C1BA3" w:rsidTr="004C1BA3">
        <w:trPr>
          <w:trHeight w:val="371"/>
        </w:trPr>
        <w:tc>
          <w:tcPr>
            <w:tcW w:w="9122" w:type="dxa"/>
          </w:tcPr>
          <w:p w:rsidR="004C1BA3" w:rsidRDefault="002F5644" w:rsidP="004C1BA3">
            <w:r>
              <w:t>Alesia Savchenko</w:t>
            </w:r>
          </w:p>
        </w:tc>
      </w:tr>
      <w:tr w:rsidR="004C1BA3" w:rsidTr="004C1BA3">
        <w:trPr>
          <w:trHeight w:val="351"/>
        </w:trPr>
        <w:tc>
          <w:tcPr>
            <w:tcW w:w="9122" w:type="dxa"/>
          </w:tcPr>
          <w:p w:rsidR="004C1BA3" w:rsidRPr="002F5644" w:rsidRDefault="004C1BA3" w:rsidP="004C1BA3">
            <w:pPr>
              <w:rPr>
                <w:lang w:val="cs-CZ"/>
              </w:rPr>
            </w:pPr>
          </w:p>
        </w:tc>
      </w:tr>
    </w:tbl>
    <w:p w:rsidR="004C1BA3" w:rsidRDefault="004C1BA3" w:rsidP="004C1BA3"/>
    <w:p w:rsidR="004C1BA3" w:rsidRDefault="004C1BA3" w:rsidP="004C1BA3">
      <w:r>
        <w:t xml:space="preserve">Jeffrey, Julie Roy. “The Liberty Women of Boston: Evangelicalism and Antislavery Politics.” </w:t>
      </w:r>
      <w:r>
        <w:rPr>
          <w:i/>
        </w:rPr>
        <w:t>The New England Quarterly</w:t>
      </w:r>
      <w:r>
        <w:t>, Vol. 85, No. 1 (March 2012), 38 – 77.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4C1BA3" w:rsidTr="004C1BA3">
        <w:trPr>
          <w:trHeight w:val="342"/>
        </w:trPr>
        <w:tc>
          <w:tcPr>
            <w:tcW w:w="9077" w:type="dxa"/>
          </w:tcPr>
          <w:p w:rsidR="004C1BA3" w:rsidRDefault="004C1BA3" w:rsidP="004C1BA3"/>
        </w:tc>
      </w:tr>
      <w:tr w:rsidR="004C1BA3" w:rsidTr="004C1BA3">
        <w:trPr>
          <w:trHeight w:val="323"/>
        </w:trPr>
        <w:tc>
          <w:tcPr>
            <w:tcW w:w="9077" w:type="dxa"/>
          </w:tcPr>
          <w:p w:rsidR="004C1BA3" w:rsidRDefault="004C1BA3" w:rsidP="004C1BA3"/>
        </w:tc>
      </w:tr>
    </w:tbl>
    <w:p w:rsidR="004C1BA3" w:rsidRDefault="004C1BA3" w:rsidP="004C1BA3"/>
    <w:p w:rsidR="004C1BA3" w:rsidRPr="005A11B0" w:rsidRDefault="004C1BA3" w:rsidP="004C1BA3">
      <w:pPr>
        <w:rPr>
          <w:rFonts w:ascii="Calibri" w:hAnsi="Calibri" w:cs="Courier New"/>
          <w:szCs w:val="24"/>
        </w:rPr>
      </w:pPr>
      <w:r>
        <w:rPr>
          <w:rFonts w:ascii="Calibri" w:hAnsi="Calibri" w:cs="Courier New"/>
          <w:szCs w:val="24"/>
        </w:rPr>
        <w:t>Anderson, Bonnie S. “The Lid Comes off: International Radical Feminism and the Revolutions of 1848.”</w:t>
      </w:r>
      <w:r>
        <w:rPr>
          <w:rFonts w:ascii="Calibri" w:hAnsi="Calibri" w:cs="Courier New"/>
          <w:i/>
          <w:szCs w:val="24"/>
        </w:rPr>
        <w:t>NWSA Journal</w:t>
      </w:r>
      <w:r>
        <w:rPr>
          <w:rFonts w:ascii="Calibri" w:hAnsi="Calibri" w:cs="Courier New"/>
          <w:szCs w:val="24"/>
        </w:rPr>
        <w:t>, Vol. 10, No. 2 (Summer, 1998), 1 – 12.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C1BA3" w:rsidTr="004C1BA3">
        <w:trPr>
          <w:trHeight w:val="364"/>
        </w:trPr>
        <w:tc>
          <w:tcPr>
            <w:tcW w:w="9062" w:type="dxa"/>
          </w:tcPr>
          <w:p w:rsidR="004C1BA3" w:rsidRDefault="004C1BA3" w:rsidP="004C1BA3"/>
        </w:tc>
      </w:tr>
      <w:tr w:rsidR="004C1BA3" w:rsidTr="004C1BA3">
        <w:trPr>
          <w:trHeight w:val="344"/>
        </w:trPr>
        <w:tc>
          <w:tcPr>
            <w:tcW w:w="9062" w:type="dxa"/>
          </w:tcPr>
          <w:p w:rsidR="004C1BA3" w:rsidRDefault="004C1BA3" w:rsidP="004C1BA3"/>
        </w:tc>
      </w:tr>
    </w:tbl>
    <w:p w:rsidR="004C1BA3" w:rsidRDefault="004C1BA3" w:rsidP="004C1BA3"/>
    <w:p w:rsidR="004C1BA3" w:rsidRDefault="004C1BA3" w:rsidP="004C1BA3">
      <w:r>
        <w:t xml:space="preserve">Harris, LaShawn. “Playing the Numbers: Madame Stephanie St. Clair and African American Policy Culture in Harlem.” </w:t>
      </w:r>
      <w:r>
        <w:rPr>
          <w:i/>
        </w:rPr>
        <w:t>Black Women, Gender + Families</w:t>
      </w:r>
      <w:r>
        <w:t>, Vol. 2, No. 2 (Fall 2008), 53 – 76.</w:t>
      </w:r>
    </w:p>
    <w:tbl>
      <w:tblPr>
        <w:tblStyle w:val="TableGrid"/>
        <w:tblW w:w="9152" w:type="dxa"/>
        <w:tblLook w:val="04A0" w:firstRow="1" w:lastRow="0" w:firstColumn="1" w:lastColumn="0" w:noHBand="0" w:noVBand="1"/>
      </w:tblPr>
      <w:tblGrid>
        <w:gridCol w:w="9152"/>
      </w:tblGrid>
      <w:tr w:rsidR="004C1BA3" w:rsidTr="004C1BA3">
        <w:trPr>
          <w:trHeight w:val="386"/>
        </w:trPr>
        <w:tc>
          <w:tcPr>
            <w:tcW w:w="9152" w:type="dxa"/>
          </w:tcPr>
          <w:p w:rsidR="004C1BA3" w:rsidRDefault="002F5644" w:rsidP="004C1BA3">
            <w:r>
              <w:t>Daniela Urbanová</w:t>
            </w:r>
          </w:p>
        </w:tc>
      </w:tr>
      <w:tr w:rsidR="004C1BA3" w:rsidTr="004C1BA3">
        <w:trPr>
          <w:trHeight w:val="365"/>
        </w:trPr>
        <w:tc>
          <w:tcPr>
            <w:tcW w:w="9152" w:type="dxa"/>
          </w:tcPr>
          <w:p w:rsidR="004C1BA3" w:rsidRDefault="004C1BA3" w:rsidP="004C1BA3"/>
        </w:tc>
      </w:tr>
    </w:tbl>
    <w:p w:rsidR="004C1BA3" w:rsidRDefault="004C1BA3" w:rsidP="004C1BA3"/>
    <w:p w:rsidR="004C1BA3" w:rsidRPr="00D56E26" w:rsidRDefault="004C1BA3" w:rsidP="004C1BA3">
      <w:r>
        <w:t xml:space="preserve">Smith, Andrea. “Native American Feminism, Sovereignty and Social Change.” </w:t>
      </w:r>
      <w:r>
        <w:rPr>
          <w:i/>
        </w:rPr>
        <w:t>Feminist Studies</w:t>
      </w:r>
      <w:r>
        <w:t>, Vol 31., No. 1 (Spring 2005), 116 – 132.</w:t>
      </w: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4C1BA3" w:rsidTr="004C1BA3">
        <w:trPr>
          <w:trHeight w:val="350"/>
        </w:trPr>
        <w:tc>
          <w:tcPr>
            <w:tcW w:w="9092" w:type="dxa"/>
          </w:tcPr>
          <w:p w:rsidR="004C1BA3" w:rsidRPr="00AA7280" w:rsidRDefault="00AA7280" w:rsidP="004C1BA3">
            <w:pPr>
              <w:rPr>
                <w:lang w:val="cs-CZ"/>
              </w:rPr>
            </w:pPr>
            <w:r>
              <w:rPr>
                <w:lang w:val="cs-CZ"/>
              </w:rPr>
              <w:t>Natalie Cimalová</w:t>
            </w:r>
          </w:p>
        </w:tc>
      </w:tr>
      <w:tr w:rsidR="004C1BA3" w:rsidTr="004C1BA3">
        <w:trPr>
          <w:trHeight w:val="330"/>
        </w:trPr>
        <w:tc>
          <w:tcPr>
            <w:tcW w:w="9092" w:type="dxa"/>
          </w:tcPr>
          <w:p w:rsidR="004C1BA3" w:rsidRDefault="002F5644" w:rsidP="004C1BA3">
            <w:r>
              <w:t>Michaela Dlouhá</w:t>
            </w:r>
          </w:p>
        </w:tc>
      </w:tr>
    </w:tbl>
    <w:p w:rsidR="004C1BA3" w:rsidRDefault="004C1BA3" w:rsidP="004C1BA3"/>
    <w:p w:rsidR="004C1BA3" w:rsidRDefault="004C1BA3" w:rsidP="004C1BA3"/>
    <w:p w:rsidR="004C1BA3" w:rsidRDefault="004C1BA3" w:rsidP="004C1BA3">
      <w:r>
        <w:rPr>
          <w:b/>
        </w:rPr>
        <w:t>Books</w:t>
      </w:r>
    </w:p>
    <w:p w:rsidR="004C1BA3" w:rsidRDefault="004C1BA3" w:rsidP="004C1BA3">
      <w:r>
        <w:t xml:space="preserve">Fisher, Kirsten. </w:t>
      </w:r>
      <w:r>
        <w:rPr>
          <w:i/>
        </w:rPr>
        <w:t>Suspect Relations: Sex, Race, and Resistance in Colonial North Carolina</w:t>
      </w:r>
      <w:r>
        <w:t>. Ithaca, NY: Cornel University Press, 2002. Chapter 1, “Disorderly Women and the Struggle for Authority,” 13 – 54.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4C1BA3" w:rsidTr="004C1BA3">
        <w:trPr>
          <w:trHeight w:val="342"/>
        </w:trPr>
        <w:tc>
          <w:tcPr>
            <w:tcW w:w="9077" w:type="dxa"/>
          </w:tcPr>
          <w:p w:rsidR="004C1BA3" w:rsidRDefault="002F5644" w:rsidP="004C1BA3">
            <w:r>
              <w:t>Daniela Urbanová</w:t>
            </w:r>
          </w:p>
        </w:tc>
      </w:tr>
      <w:tr w:rsidR="004C1BA3" w:rsidTr="004C1BA3">
        <w:trPr>
          <w:trHeight w:val="323"/>
        </w:trPr>
        <w:tc>
          <w:tcPr>
            <w:tcW w:w="9077" w:type="dxa"/>
          </w:tcPr>
          <w:p w:rsidR="004C1BA3" w:rsidRDefault="004C1BA3" w:rsidP="004C1BA3"/>
        </w:tc>
      </w:tr>
    </w:tbl>
    <w:p w:rsidR="004C1BA3" w:rsidRDefault="004C1BA3" w:rsidP="004C1BA3"/>
    <w:p w:rsidR="004C1BA3" w:rsidRDefault="004C1BA3" w:rsidP="004C1BA3">
      <w:r>
        <w:t xml:space="preserve">Norton, Mary Beth. </w:t>
      </w:r>
      <w:r>
        <w:rPr>
          <w:i/>
        </w:rPr>
        <w:t>Liberty’s Daughters.</w:t>
      </w:r>
      <w:r>
        <w:t xml:space="preserve"> Chapter 6, “We Commenced Perfect Statesmen,” 155 – 194.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4C1BA3" w:rsidTr="004C1BA3">
        <w:trPr>
          <w:trHeight w:val="357"/>
        </w:trPr>
        <w:tc>
          <w:tcPr>
            <w:tcW w:w="9077" w:type="dxa"/>
          </w:tcPr>
          <w:p w:rsidR="004C1BA3" w:rsidRDefault="004C1BA3" w:rsidP="004C1BA3"/>
        </w:tc>
      </w:tr>
      <w:tr w:rsidR="004C1BA3" w:rsidTr="004C1BA3">
        <w:trPr>
          <w:trHeight w:val="337"/>
        </w:trPr>
        <w:tc>
          <w:tcPr>
            <w:tcW w:w="9077" w:type="dxa"/>
          </w:tcPr>
          <w:p w:rsidR="004C1BA3" w:rsidRDefault="004C1BA3" w:rsidP="004C1BA3"/>
        </w:tc>
      </w:tr>
    </w:tbl>
    <w:p w:rsidR="004C1BA3" w:rsidRDefault="004C1BA3" w:rsidP="004C1BA3"/>
    <w:p w:rsidR="004C1BA3" w:rsidRDefault="004C1BA3" w:rsidP="004C1BA3">
      <w:r>
        <w:t>Kerber,</w:t>
      </w:r>
      <w:r>
        <w:rPr>
          <w:i/>
        </w:rPr>
        <w:t xml:space="preserve"> Women of the Republic</w:t>
      </w:r>
      <w:r>
        <w:t>, chapter 8, “We Own That Ladies Sometimes Read’: Women’s Reading in the Early Republic,” 233 – 264.</w:t>
      </w:r>
    </w:p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9032"/>
      </w:tblGrid>
      <w:tr w:rsidR="004C1BA3" w:rsidTr="004C1BA3">
        <w:trPr>
          <w:trHeight w:val="364"/>
        </w:trPr>
        <w:tc>
          <w:tcPr>
            <w:tcW w:w="9032" w:type="dxa"/>
          </w:tcPr>
          <w:p w:rsidR="004C1BA3" w:rsidRDefault="002F5644" w:rsidP="004C1BA3">
            <w:r>
              <w:t>Michaela Dlouhá</w:t>
            </w:r>
          </w:p>
        </w:tc>
      </w:tr>
      <w:tr w:rsidR="004C1BA3" w:rsidTr="004C1BA3">
        <w:trPr>
          <w:trHeight w:val="344"/>
        </w:trPr>
        <w:tc>
          <w:tcPr>
            <w:tcW w:w="9032" w:type="dxa"/>
          </w:tcPr>
          <w:p w:rsidR="004C1BA3" w:rsidRDefault="004C1BA3" w:rsidP="004C1BA3"/>
        </w:tc>
      </w:tr>
    </w:tbl>
    <w:p w:rsidR="004C1BA3" w:rsidRDefault="004C1BA3" w:rsidP="004C1BA3"/>
    <w:p w:rsidR="004C1BA3" w:rsidRDefault="004C1BA3" w:rsidP="004C1BA3"/>
    <w:p w:rsidR="004C1BA3" w:rsidRDefault="004C1BA3" w:rsidP="004C1BA3">
      <w:r>
        <w:lastRenderedPageBreak/>
        <w:t xml:space="preserve">May, </w:t>
      </w:r>
      <w:r>
        <w:rPr>
          <w:i/>
        </w:rPr>
        <w:t>Homeward Bound</w:t>
      </w:r>
      <w:r>
        <w:t>, chapter 1, “Containment at Home: Cold War, Warm Hearth,” 10 – 29.</w:t>
      </w: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4C1BA3" w:rsidTr="004C1BA3">
        <w:trPr>
          <w:trHeight w:val="364"/>
        </w:trPr>
        <w:tc>
          <w:tcPr>
            <w:tcW w:w="9092" w:type="dxa"/>
          </w:tcPr>
          <w:p w:rsidR="004C1BA3" w:rsidRDefault="00AA7280" w:rsidP="004C1BA3">
            <w:r>
              <w:t>Natalie Cimalová</w:t>
            </w:r>
          </w:p>
        </w:tc>
      </w:tr>
      <w:tr w:rsidR="004C1BA3" w:rsidTr="004C1BA3">
        <w:trPr>
          <w:trHeight w:val="344"/>
        </w:trPr>
        <w:tc>
          <w:tcPr>
            <w:tcW w:w="9092" w:type="dxa"/>
          </w:tcPr>
          <w:p w:rsidR="004C1BA3" w:rsidRDefault="004C1BA3" w:rsidP="004C1BA3"/>
        </w:tc>
      </w:tr>
    </w:tbl>
    <w:p w:rsidR="004C1BA3" w:rsidRPr="00227E3E" w:rsidRDefault="004C1BA3" w:rsidP="004C1BA3"/>
    <w:p w:rsidR="004C1BA3" w:rsidRDefault="004C1BA3" w:rsidP="004C1BA3">
      <w:r>
        <w:t xml:space="preserve">Enstad, Nan. </w:t>
      </w:r>
      <w:r>
        <w:rPr>
          <w:i/>
        </w:rPr>
        <w:t>Ladies of Labor, Girls of Adventure: Working Women, Popular Culture, and Labor Politics at the Turn of the Twentieth Century</w:t>
      </w:r>
      <w:r>
        <w:t>. New York, NY: Columbia University Press, 1999. Any chapter of your choice.</w:t>
      </w: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4C1BA3" w:rsidTr="004C1BA3">
        <w:trPr>
          <w:trHeight w:val="393"/>
        </w:trPr>
        <w:tc>
          <w:tcPr>
            <w:tcW w:w="9092" w:type="dxa"/>
          </w:tcPr>
          <w:p w:rsidR="004C1BA3" w:rsidRDefault="002F5644" w:rsidP="004C1BA3">
            <w:r>
              <w:t>Alesia Savchenko</w:t>
            </w:r>
          </w:p>
        </w:tc>
      </w:tr>
      <w:tr w:rsidR="004C1BA3" w:rsidTr="004C1BA3">
        <w:trPr>
          <w:trHeight w:val="371"/>
        </w:trPr>
        <w:tc>
          <w:tcPr>
            <w:tcW w:w="9092" w:type="dxa"/>
          </w:tcPr>
          <w:p w:rsidR="004C1BA3" w:rsidRDefault="004C1BA3" w:rsidP="004C1BA3">
            <w:bookmarkStart w:id="0" w:name="_GoBack"/>
            <w:bookmarkEnd w:id="0"/>
          </w:p>
        </w:tc>
      </w:tr>
    </w:tbl>
    <w:p w:rsidR="004C1BA3" w:rsidRPr="004C1BA3" w:rsidRDefault="004C1BA3" w:rsidP="004C1BA3"/>
    <w:sectPr w:rsidR="004C1BA3" w:rsidRPr="004C1BA3" w:rsidSect="004C1BA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3"/>
    <w:rsid w:val="002F5644"/>
    <w:rsid w:val="00477B45"/>
    <w:rsid w:val="004C1BA3"/>
    <w:rsid w:val="005204A1"/>
    <w:rsid w:val="007E07F3"/>
    <w:rsid w:val="00AA7280"/>
    <w:rsid w:val="00C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C5F0-7A19-4EE0-BE50-965814C6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4C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29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8</cp:revision>
  <dcterms:created xsi:type="dcterms:W3CDTF">2016-10-11T05:05:00Z</dcterms:created>
  <dcterms:modified xsi:type="dcterms:W3CDTF">2016-10-17T12:02:00Z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